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EC74" w14:textId="77777777" w:rsidR="00545F13" w:rsidRDefault="00545F13" w:rsidP="00545F13">
      <w:pPr>
        <w:shd w:val="clear" w:color="auto" w:fill="FFFFFF"/>
        <w:tabs>
          <w:tab w:val="num" w:pos="720"/>
        </w:tabs>
        <w:spacing w:after="0" w:line="233" w:lineRule="atLeast"/>
        <w:ind w:left="720" w:hanging="360"/>
      </w:pPr>
    </w:p>
    <w:p w14:paraId="2787B7C5" w14:textId="77777777" w:rsidR="00545F13" w:rsidRDefault="00545F1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</w:p>
    <w:p w14:paraId="697BE5BC" w14:textId="77777777" w:rsidR="00545F13" w:rsidRPr="00582CE7" w:rsidRDefault="00545F1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color w:val="000000"/>
          <w:sz w:val="28"/>
          <w:szCs w:val="28"/>
        </w:rPr>
      </w:pPr>
      <w:r w:rsidRPr="00582CE7">
        <w:rPr>
          <w:rStyle w:val="Siln"/>
          <w:rFonts w:ascii="Aptos" w:hAnsi="Aptos" w:cs="Arial"/>
          <w:color w:val="000000"/>
          <w:sz w:val="28"/>
          <w:szCs w:val="28"/>
        </w:rPr>
        <w:t xml:space="preserve">Otázky </w:t>
      </w:r>
    </w:p>
    <w:p w14:paraId="100D2BA6" w14:textId="718AA513" w:rsidR="00545F13" w:rsidRPr="00582CE7" w:rsidRDefault="00582CE7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8"/>
          <w:szCs w:val="28"/>
        </w:rPr>
      </w:pPr>
      <w:r w:rsidRPr="00582CE7">
        <w:rPr>
          <w:rStyle w:val="Siln"/>
          <w:rFonts w:ascii="Aptos" w:hAnsi="Aptos" w:cs="Arial"/>
          <w:b w:val="0"/>
          <w:bCs w:val="0"/>
          <w:color w:val="C00000"/>
          <w:sz w:val="28"/>
          <w:szCs w:val="28"/>
        </w:rPr>
        <w:t>S</w:t>
      </w:r>
      <w:r w:rsidR="00545F13" w:rsidRPr="00582CE7">
        <w:rPr>
          <w:rStyle w:val="Siln"/>
          <w:rFonts w:ascii="Aptos" w:hAnsi="Aptos" w:cs="Arial"/>
          <w:b w:val="0"/>
          <w:bCs w:val="0"/>
          <w:color w:val="C00000"/>
          <w:sz w:val="28"/>
          <w:szCs w:val="28"/>
        </w:rPr>
        <w:t>eminář Novinky chemické legislativy</w:t>
      </w:r>
    </w:p>
    <w:p w14:paraId="7569D6F3" w14:textId="3A3EF542" w:rsidR="00545F13" w:rsidRPr="00582CE7" w:rsidRDefault="00545F1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8"/>
          <w:szCs w:val="28"/>
        </w:rPr>
      </w:pPr>
      <w:r w:rsidRPr="00582CE7">
        <w:rPr>
          <w:rStyle w:val="Siln"/>
          <w:rFonts w:ascii="Aptos" w:hAnsi="Aptos" w:cs="Arial"/>
          <w:b w:val="0"/>
          <w:bCs w:val="0"/>
          <w:color w:val="000000"/>
          <w:sz w:val="28"/>
          <w:szCs w:val="28"/>
        </w:rPr>
        <w:t>28.2.2024</w:t>
      </w:r>
    </w:p>
    <w:p w14:paraId="0339F386" w14:textId="77777777" w:rsidR="00545F13" w:rsidRPr="00545F13" w:rsidRDefault="00545F1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</w:p>
    <w:p w14:paraId="72D71497" w14:textId="77777777" w:rsidR="00545F13" w:rsidRPr="00545F13" w:rsidRDefault="00545F1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</w:p>
    <w:p w14:paraId="1E5EA6AB" w14:textId="77777777" w:rsidR="00545F13" w:rsidRPr="00545F13" w:rsidRDefault="00545F1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</w:p>
    <w:p w14:paraId="3DE97D9B" w14:textId="77777777" w:rsidR="00545F13" w:rsidRPr="00545F13" w:rsidRDefault="00545F1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36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</w:p>
    <w:p w14:paraId="4D3D5E6B" w14:textId="5158BE00" w:rsidR="00545F13" w:rsidRPr="004B2CC3" w:rsidRDefault="00545F13" w:rsidP="00AB4615">
      <w:pPr>
        <w:pStyle w:val="-wm-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</w:pPr>
      <w:r w:rsidRPr="004B2CC3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Na slide 15  je zvýrazněno : "Pozor na látky s neklasifikovanou nebezpečností, které jsou SVHC, PBT, </w:t>
      </w:r>
      <w:proofErr w:type="spellStart"/>
      <w:r w:rsidRPr="004B2CC3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vPvB</w:t>
      </w:r>
      <w:proofErr w:type="spellEnd"/>
      <w:r w:rsidRPr="004B2CC3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4B2CC3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a </w:t>
      </w:r>
      <w:proofErr w:type="spellStart"/>
      <w:r w:rsidRPr="004B2CC3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disruptory</w:t>
      </w:r>
      <w:proofErr w:type="spellEnd"/>
      <w:r w:rsidRPr="004B2CC3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" otázka zní : Jsem konečný uživatel - co když je BL v tomto ohledu neúplný/nesprávný ? To si musím kontrolovat sám</w:t>
      </w:r>
      <w:r w:rsidR="00582CE7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.</w:t>
      </w:r>
      <w:r w:rsidRPr="004B2CC3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</w:p>
    <w:p w14:paraId="54201BC7" w14:textId="77777777" w:rsidR="00545F13" w:rsidRDefault="00545F1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0577B96F" w14:textId="0F5951BB" w:rsidR="004B2CC3" w:rsidRDefault="00DD4F3B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Pokud směs obsahuje SVHC látky měly by být uvedeny </w:t>
      </w:r>
      <w:r w:rsidR="004B2CC3"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v oddíle 3.2., pokud ovlivňují klasifikaci. Je to odpovědnost dodavatele.</w:t>
      </w:r>
    </w:p>
    <w:p w14:paraId="741CDB5A" w14:textId="37ABC28F" w:rsidR="004B2CC3" w:rsidRDefault="004B2CC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Jinak v rámci směsi se k SVHC látkám žádné povinnosti uživatele neváží. Ty jsou navázány na předměty.</w:t>
      </w:r>
    </w:p>
    <w:p w14:paraId="4996C91D" w14:textId="1A0DD2B4" w:rsidR="00AB4615" w:rsidRDefault="00AB4615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Pokud se stanou látkami na povolení musí to být uvedeno v oddíle 15</w:t>
      </w:r>
    </w:p>
    <w:p w14:paraId="6F9B075F" w14:textId="77777777" w:rsidR="004B2CC3" w:rsidRDefault="004B2CC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04B07007" w14:textId="77777777" w:rsidR="004B2CC3" w:rsidRDefault="004B2CC3" w:rsidP="00545F1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3139986C" w14:textId="1459B4CD" w:rsidR="00545F13" w:rsidRPr="004B2CC3" w:rsidRDefault="00545F13" w:rsidP="00592C5D">
      <w:pPr>
        <w:pStyle w:val="-wm-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</w:pPr>
      <w:r w:rsidRPr="004B2CC3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Zodpovídá dodavatel za případnou škodu neuvedením ?</w:t>
      </w:r>
    </w:p>
    <w:p w14:paraId="2372F3CA" w14:textId="77777777" w:rsidR="00592C5D" w:rsidRDefault="00592C5D" w:rsidP="004B2CC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Verdana" w:eastAsiaTheme="majorEastAsia" w:hAnsi="Verdana" w:cs="Arial"/>
          <w:color w:val="000000"/>
          <w:sz w:val="20"/>
          <w:szCs w:val="20"/>
        </w:rPr>
      </w:pPr>
    </w:p>
    <w:p w14:paraId="4ABE99D3" w14:textId="0BFF5C8F" w:rsidR="004B2CC3" w:rsidRDefault="00592C5D" w:rsidP="004B2CC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Verdana" w:eastAsiaTheme="majorEastAsia" w:hAnsi="Verdana" w:cs="Arial"/>
          <w:color w:val="000000"/>
          <w:sz w:val="20"/>
          <w:szCs w:val="20"/>
        </w:rPr>
      </w:pPr>
      <w:r>
        <w:rPr>
          <w:rFonts w:ascii="Verdana" w:eastAsiaTheme="majorEastAsia" w:hAnsi="Verdana" w:cs="Arial"/>
          <w:color w:val="000000"/>
          <w:sz w:val="20"/>
          <w:szCs w:val="20"/>
        </w:rPr>
        <w:t>J</w:t>
      </w:r>
      <w:r w:rsidR="004B2CC3">
        <w:rPr>
          <w:rFonts w:ascii="Verdana" w:eastAsiaTheme="majorEastAsia" w:hAnsi="Verdana" w:cs="Arial"/>
          <w:color w:val="000000"/>
          <w:sz w:val="20"/>
          <w:szCs w:val="20"/>
        </w:rPr>
        <w:t>e potřeba to tak mít nastavené.</w:t>
      </w:r>
    </w:p>
    <w:p w14:paraId="0FE0A214" w14:textId="77777777" w:rsidR="004B2CC3" w:rsidRDefault="004B2CC3" w:rsidP="004B2CC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Verdana" w:eastAsiaTheme="majorEastAsia" w:hAnsi="Verdana" w:cs="Arial"/>
          <w:color w:val="000000"/>
          <w:sz w:val="20"/>
          <w:szCs w:val="20"/>
        </w:rPr>
      </w:pPr>
    </w:p>
    <w:p w14:paraId="50E5A0E1" w14:textId="77777777" w:rsidR="004B2CC3" w:rsidRPr="004B2CC3" w:rsidRDefault="004B2CC3" w:rsidP="004B2CC3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Verdana" w:eastAsiaTheme="majorEastAsia" w:hAnsi="Verdana" w:cs="Arial"/>
          <w:color w:val="000000"/>
          <w:sz w:val="20"/>
          <w:szCs w:val="20"/>
        </w:rPr>
      </w:pPr>
    </w:p>
    <w:p w14:paraId="62D26505" w14:textId="77777777" w:rsidR="00AB4615" w:rsidRPr="00AB4615" w:rsidRDefault="00545F13" w:rsidP="00545F13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Style w:val="Siln"/>
          <w:rFonts w:ascii="Aptos" w:hAnsi="Aptos" w:cs="Arial"/>
          <w:b w:val="0"/>
          <w:bCs w:val="0"/>
          <w:i/>
          <w:iCs/>
          <w:color w:val="000000"/>
          <w:sz w:val="22"/>
          <w:szCs w:val="22"/>
        </w:rPr>
      </w:pPr>
      <w:r w:rsidRPr="00AB4615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Pokud dostanu od výrobce BL z Itálie  obsahující UFI k</w:t>
      </w:r>
      <w:r w:rsidR="00AB4615" w:rsidRPr="00AB4615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ó</w:t>
      </w:r>
      <w:r w:rsidRPr="00AB4615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d: Je povinností výrobce oznámit směs pro ČR nebo je naší povinností jako distributora to udělat za něho? </w:t>
      </w:r>
    </w:p>
    <w:p w14:paraId="5B7BA5C6" w14:textId="77777777" w:rsidR="00AB4615" w:rsidRDefault="00AB4615" w:rsidP="00AB4615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</w:p>
    <w:p w14:paraId="3C664B7F" w14:textId="74C03EBB" w:rsidR="00AB4615" w:rsidRDefault="00AB4615" w:rsidP="00AB4615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  <w:r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  <w:t>Vzhledem  tomu, že výrobce z Itálie uvádí na český trh, měl by provést oznámení PCN navázané na jeho UFI  kód, kde označí trh české republiky.</w:t>
      </w:r>
    </w:p>
    <w:p w14:paraId="6B7FA1DB" w14:textId="2A8DC7A1" w:rsidR="00AB4615" w:rsidRPr="00AB4615" w:rsidRDefault="00AB4615" w:rsidP="00AB4615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  <w:r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  <w:t xml:space="preserve">Pokud takovou směs chcete distribuovat dále v ČR, je potřeba se přesvědčit (zeptat) zda je pro ČR nahlášena. Pak můžete použít UFI kód výrobce. </w:t>
      </w:r>
    </w:p>
    <w:p w14:paraId="71194F31" w14:textId="77777777" w:rsidR="00AB4615" w:rsidRPr="00AB4615" w:rsidRDefault="00AB4615" w:rsidP="00AB4615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</w:p>
    <w:p w14:paraId="7AA23E8D" w14:textId="0D7B3D49" w:rsidR="00B826F4" w:rsidRPr="002B512B" w:rsidRDefault="00545F13" w:rsidP="004F2D5C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Style w:val="Siln"/>
          <w:rFonts w:ascii="Aptos" w:hAnsi="Aptos" w:cs="Arial"/>
          <w:b w:val="0"/>
          <w:bCs w:val="0"/>
          <w:i/>
          <w:iCs/>
          <w:color w:val="000000"/>
          <w:sz w:val="22"/>
          <w:szCs w:val="22"/>
        </w:rPr>
      </w:pPr>
      <w:r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Lze v tom případě požít k oznámení jejich UFI k</w:t>
      </w:r>
      <w:r w:rsid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ó</w:t>
      </w:r>
      <w:r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d</w:t>
      </w:r>
      <w:r w:rsid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?</w:t>
      </w:r>
      <w:r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</w:p>
    <w:p w14:paraId="5B6C4884" w14:textId="77777777" w:rsidR="00B826F4" w:rsidRDefault="00B826F4" w:rsidP="00B826F4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3F20E208" w14:textId="05F6DCBD" w:rsidR="00B826F4" w:rsidRPr="002B512B" w:rsidRDefault="00B826F4" w:rsidP="00B826F4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  <w:r w:rsidRPr="002B512B"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Za podmínky, že výrobce pro ČR oznámil</w:t>
      </w:r>
    </w:p>
    <w:p w14:paraId="25E1FA72" w14:textId="77777777" w:rsidR="00B826F4" w:rsidRPr="00B826F4" w:rsidRDefault="00B826F4" w:rsidP="00B826F4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</w:p>
    <w:p w14:paraId="0999438D" w14:textId="69275164" w:rsidR="00545F13" w:rsidRPr="002B512B" w:rsidRDefault="00592C5D" w:rsidP="00B826F4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</w:pP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N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ebo musíme vygenerovat vlastní a pak ho uvést do BL? </w:t>
      </w:r>
    </w:p>
    <w:p w14:paraId="2873DE6A" w14:textId="77777777" w:rsidR="00B826F4" w:rsidRDefault="00B826F4" w:rsidP="00B826F4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282F438F" w14:textId="6B586332" w:rsidR="00B826F4" w:rsidRPr="00B826F4" w:rsidRDefault="00B826F4" w:rsidP="00B826F4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Pokud ne, tak vygenerovat vlastní UFI, provést oznámení distributora do PCN s použitím původního UFI výrobce. </w:t>
      </w:r>
      <w:r w:rsidR="002B512B"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Ale t</w:t>
      </w: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ento nový UFI, pak musí být na etiketách výrobku.</w:t>
      </w:r>
      <w:r w:rsidR="002B512B"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 V BL být nemusí.</w:t>
      </w:r>
    </w:p>
    <w:p w14:paraId="37A89BE4" w14:textId="77777777" w:rsidR="00B826F4" w:rsidRDefault="00B826F4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Aptos" w:hAnsi="Aptos" w:cs="Arial"/>
          <w:color w:val="000000"/>
          <w:sz w:val="22"/>
          <w:szCs w:val="22"/>
        </w:rPr>
      </w:pPr>
    </w:p>
    <w:p w14:paraId="57C1234E" w14:textId="2E9E9921" w:rsidR="00545F13" w:rsidRPr="002B512B" w:rsidRDefault="00592C5D" w:rsidP="00545F13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Style w:val="Siln"/>
          <w:rFonts w:ascii="Aptos" w:hAnsi="Aptos" w:cs="Arial"/>
          <w:b w:val="0"/>
          <w:bCs w:val="0"/>
          <w:i/>
          <w:iCs/>
          <w:color w:val="000000"/>
          <w:sz w:val="22"/>
          <w:szCs w:val="22"/>
        </w:rPr>
      </w:pP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T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edy italský výrobce oznám</w:t>
      </w: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í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za ČR, tak je schopen vyplnit oddíl 11. z BL v českém jazyce?</w:t>
      </w:r>
    </w:p>
    <w:p w14:paraId="104EDDB9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66A76191" w14:textId="57047C6C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Měl by.</w:t>
      </w:r>
    </w:p>
    <w:p w14:paraId="6A1D2A68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Aptos" w:hAnsi="Aptos" w:cs="Arial"/>
          <w:color w:val="000000"/>
          <w:sz w:val="22"/>
          <w:szCs w:val="22"/>
        </w:rPr>
      </w:pPr>
    </w:p>
    <w:p w14:paraId="2774522F" w14:textId="40B3E283" w:rsidR="00545F13" w:rsidRPr="002B512B" w:rsidRDefault="00592C5D" w:rsidP="00545F13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Style w:val="Siln"/>
          <w:rFonts w:ascii="Aptos" w:hAnsi="Aptos" w:cs="Arial"/>
          <w:b w:val="0"/>
          <w:bCs w:val="0"/>
          <w:i/>
          <w:iCs/>
          <w:color w:val="000000"/>
          <w:sz w:val="22"/>
          <w:szCs w:val="22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Dotaz:</w:t>
      </w: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S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ta</w:t>
      </w: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č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i</w:t>
      </w:r>
      <w:proofErr w:type="spellEnd"/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jen v </w:t>
      </w: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č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esk</w:t>
      </w: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é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m jazyce</w:t>
      </w: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hlásit do PCN centra jen </w:t>
      </w:r>
      <w:proofErr w:type="spellStart"/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oddil</w:t>
      </w:r>
      <w:proofErr w:type="spellEnd"/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11 a zbytek v anglick</w:t>
      </w: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é</w:t>
      </w:r>
      <w:r w:rsidR="00545F13" w:rsidRPr="002B512B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m jazyce?</w:t>
      </w:r>
    </w:p>
    <w:p w14:paraId="436DBA9B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Aptos" w:hAnsi="Aptos" w:cs="Arial"/>
          <w:color w:val="000000"/>
          <w:sz w:val="22"/>
          <w:szCs w:val="22"/>
        </w:rPr>
      </w:pPr>
    </w:p>
    <w:p w14:paraId="0B8AB263" w14:textId="1376AF7B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>Ano, tak to funguje, vše se zadává anglicky pouze oddíl 11 je v národních jazycích.</w:t>
      </w:r>
    </w:p>
    <w:p w14:paraId="0F96B7A0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Aptos" w:hAnsi="Aptos" w:cs="Arial"/>
          <w:color w:val="000000"/>
          <w:sz w:val="22"/>
          <w:szCs w:val="22"/>
        </w:rPr>
      </w:pPr>
    </w:p>
    <w:p w14:paraId="77332F7B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Aptos" w:hAnsi="Aptos" w:cs="Arial"/>
          <w:color w:val="000000"/>
          <w:sz w:val="22"/>
          <w:szCs w:val="22"/>
        </w:rPr>
      </w:pPr>
    </w:p>
    <w:p w14:paraId="3481AFAA" w14:textId="3D7F35EF" w:rsidR="00545F13" w:rsidRPr="002B512B" w:rsidRDefault="00592C5D" w:rsidP="00545F13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lastRenderedPageBreak/>
        <w:t>Dotaz:</w:t>
      </w:r>
      <w:r w:rsidR="00545F13"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N</w:t>
      </w:r>
      <w:r w:rsidR="00545F13" w:rsidRP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a krabičce bude</w:t>
      </w:r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="00545F13" w:rsidRP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 xml:space="preserve">muset být také splněna minimální velikost písma? </w:t>
      </w:r>
      <w:proofErr w:type="spellStart"/>
      <w:r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P</w:t>
      </w:r>
      <w:r w:rsidR="00545F13" w:rsidRP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rodejni</w:t>
      </w:r>
      <w:proofErr w:type="spellEnd"/>
      <w:r w:rsidR="00545F13"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 </w:t>
      </w:r>
      <w:r w:rsidR="00545F13" w:rsidRP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obal.</w:t>
      </w:r>
    </w:p>
    <w:p w14:paraId="088D106B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04E15A0D" w14:textId="1BCC1472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08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Návrh zatím hovoří obecně o velikosti písma na obalu (štítku)</w:t>
      </w:r>
    </w:p>
    <w:p w14:paraId="4E2B7069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08"/>
        <w:rPr>
          <w:rFonts w:ascii="Aptos" w:hAnsi="Aptos" w:cs="Arial"/>
          <w:color w:val="000000"/>
          <w:sz w:val="22"/>
          <w:szCs w:val="22"/>
        </w:rPr>
      </w:pPr>
    </w:p>
    <w:p w14:paraId="6E3CD762" w14:textId="57283B8E" w:rsidR="00545F13" w:rsidRPr="002B512B" w:rsidRDefault="00592C5D" w:rsidP="00545F13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Style w:val="Siln"/>
          <w:rFonts w:ascii="Aptos" w:hAnsi="Aptos" w:cs="Arial"/>
          <w:b w:val="0"/>
          <w:bCs w:val="0"/>
          <w:color w:val="000000"/>
          <w:sz w:val="22"/>
          <w:szCs w:val="22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Dotaz:</w:t>
      </w: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 </w:t>
      </w:r>
      <w:r w:rsidRP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P</w:t>
      </w:r>
      <w:r w:rsidR="00545F13" w:rsidRP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okud směs obsahuje SVHC látku, tak musí se taky hlásit uživateli pokud to není předmět</w:t>
      </w:r>
      <w:r w:rsidR="00545F13"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?</w:t>
      </w:r>
    </w:p>
    <w:p w14:paraId="675C5D60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08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3D000E2D" w14:textId="38D033E1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08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Ne</w:t>
      </w:r>
    </w:p>
    <w:p w14:paraId="43FD4891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08"/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</w:pPr>
    </w:p>
    <w:p w14:paraId="2E945DCF" w14:textId="77777777" w:rsidR="002B512B" w:rsidRDefault="002B512B" w:rsidP="002B512B">
      <w:pPr>
        <w:pStyle w:val="-wm-msolistparagraph"/>
        <w:shd w:val="clear" w:color="auto" w:fill="FFFFFF"/>
        <w:spacing w:before="0" w:beforeAutospacing="0" w:after="0" w:afterAutospacing="0" w:line="233" w:lineRule="atLeast"/>
        <w:ind w:left="708"/>
        <w:rPr>
          <w:rFonts w:ascii="Aptos" w:hAnsi="Aptos" w:cs="Arial"/>
          <w:color w:val="000000"/>
          <w:sz w:val="22"/>
          <w:szCs w:val="22"/>
        </w:rPr>
      </w:pPr>
    </w:p>
    <w:p w14:paraId="2F1FC782" w14:textId="3297D357" w:rsidR="00545F13" w:rsidRPr="00592C5D" w:rsidRDefault="00545F13" w:rsidP="00545F13">
      <w:pPr>
        <w:pStyle w:val="-wm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33" w:lineRule="atLeast"/>
        <w:rPr>
          <w:rStyle w:val="Siln"/>
          <w:rFonts w:ascii="Aptos" w:hAnsi="Aptos" w:cs="Arial"/>
          <w:b w:val="0"/>
          <w:bCs w:val="0"/>
          <w:i/>
          <w:iCs/>
          <w:color w:val="000000"/>
          <w:sz w:val="22"/>
          <w:szCs w:val="22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Dotaz: </w:t>
      </w:r>
      <w:r w:rsidRPr="00592C5D">
        <w:rPr>
          <w:rStyle w:val="Siln"/>
          <w:rFonts w:ascii="Verdana" w:eastAsiaTheme="majorEastAsia" w:hAnsi="Verdana" w:cs="Arial"/>
          <w:b w:val="0"/>
          <w:bCs w:val="0"/>
          <w:i/>
          <w:iCs/>
          <w:color w:val="000000"/>
          <w:sz w:val="20"/>
          <w:szCs w:val="20"/>
        </w:rPr>
        <w:t>Za co ČIŽP aktuálně dává pokuty v oblasti uživatelů CHL</w:t>
      </w:r>
    </w:p>
    <w:p w14:paraId="6EAF0075" w14:textId="2A9F0BE3" w:rsidR="002B512B" w:rsidRDefault="002B512B" w:rsidP="002B512B">
      <w:pPr>
        <w:pStyle w:val="-wm-msolistparagraph"/>
        <w:shd w:val="clear" w:color="auto" w:fill="FFFFFF"/>
        <w:spacing w:before="0" w:beforeAutospacing="0" w:after="160" w:afterAutospacing="0" w:line="233" w:lineRule="atLeast"/>
        <w:ind w:left="720"/>
        <w:rPr>
          <w:rFonts w:ascii="Aptos" w:hAnsi="Aptos" w:cs="Arial"/>
          <w:color w:val="000000"/>
          <w:sz w:val="22"/>
          <w:szCs w:val="22"/>
        </w:rPr>
      </w:pPr>
      <w:r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>Tohle bohužel nevím.</w:t>
      </w:r>
      <w:r w:rsidR="00592C5D">
        <w:rPr>
          <w:rStyle w:val="Siln"/>
          <w:rFonts w:ascii="Verdana" w:eastAsiaTheme="majorEastAsia" w:hAnsi="Verdana" w:cs="Arial"/>
          <w:b w:val="0"/>
          <w:bCs w:val="0"/>
          <w:color w:val="000000"/>
          <w:sz w:val="20"/>
          <w:szCs w:val="20"/>
        </w:rPr>
        <w:t xml:space="preserve"> Ale listy a označení kontrolují průběžně.</w:t>
      </w:r>
    </w:p>
    <w:p w14:paraId="6268B079" w14:textId="758F9A83" w:rsidR="00266A80" w:rsidRDefault="002B512B">
      <w:r>
        <w:tab/>
        <w:t>Dle prezentace pana Jarolíma na</w:t>
      </w:r>
      <w:r w:rsidR="00592C5D">
        <w:t xml:space="preserve"> lednové</w:t>
      </w:r>
      <w:r>
        <w:t xml:space="preserve"> konferenci kontrolovali celý loňský rok BL.</w:t>
      </w:r>
    </w:p>
    <w:p w14:paraId="05103380" w14:textId="77777777" w:rsidR="00592C5D" w:rsidRPr="00592C5D" w:rsidRDefault="002B512B">
      <w:r>
        <w:tab/>
      </w:r>
      <w:r w:rsidRPr="00592C5D">
        <w:t xml:space="preserve">Letos se zaměří </w:t>
      </w:r>
    </w:p>
    <w:p w14:paraId="5F5666A6" w14:textId="07655DD5" w:rsidR="002B512B" w:rsidRDefault="00592C5D" w:rsidP="00592C5D">
      <w:pPr>
        <w:ind w:firstLine="708"/>
      </w:pPr>
      <w:r>
        <w:t>N</w:t>
      </w:r>
      <w:r w:rsidR="002B512B">
        <w:t xml:space="preserve">a </w:t>
      </w:r>
      <w:proofErr w:type="spellStart"/>
      <w:r w:rsidR="002B512B">
        <w:t>POPs</w:t>
      </w:r>
      <w:proofErr w:type="spellEnd"/>
      <w:r w:rsidR="002B512B">
        <w:t xml:space="preserve"> a omezené látky</w:t>
      </w:r>
      <w:r>
        <w:t xml:space="preserve"> dle přílohy XVII.</w:t>
      </w:r>
    </w:p>
    <w:p w14:paraId="00F74D44" w14:textId="56CD6229" w:rsidR="00592C5D" w:rsidRDefault="00592C5D" w:rsidP="00592C5D">
      <w:pPr>
        <w:pStyle w:val="paragraph"/>
        <w:spacing w:before="0" w:beforeAutospacing="0" w:after="0" w:afterAutospacing="0"/>
        <w:ind w:left="708"/>
        <w:textAlignment w:val="baseline"/>
        <w:rPr>
          <w:rStyle w:val="eop"/>
          <w:rFonts w:ascii="Arial" w:eastAsiaTheme="majorEastAsia" w:hAnsi="Arial" w:cs="Arial"/>
          <w:sz w:val="64"/>
          <w:szCs w:val="64"/>
          <w:lang w:val="pt-PT"/>
        </w:rPr>
      </w:pPr>
      <w:r w:rsidRPr="00592C5D">
        <w:rPr>
          <w:rStyle w:val="normaltextrun"/>
          <w:rFonts w:ascii="Verdana" w:eastAsiaTheme="majorEastAsia" w:hAnsi="Verdana" w:cs="Arial"/>
          <w:position w:val="-1"/>
          <w:sz w:val="20"/>
          <w:szCs w:val="20"/>
        </w:rPr>
        <w:t>S</w:t>
      </w:r>
      <w:r w:rsidRPr="00592C5D">
        <w:rPr>
          <w:rStyle w:val="normaltextrun"/>
          <w:rFonts w:ascii="Verdana" w:eastAsiaTheme="majorEastAsia" w:hAnsi="Verdana" w:cs="Arial"/>
          <w:position w:val="-1"/>
          <w:sz w:val="20"/>
          <w:szCs w:val="20"/>
        </w:rPr>
        <w:t>měsi a předměty dovážené ze zemí mimo EHP.</w:t>
      </w:r>
      <w:r w:rsidRPr="00592C5D">
        <w:rPr>
          <w:rStyle w:val="eop"/>
          <w:rFonts w:ascii="Arial" w:eastAsiaTheme="majorEastAsia" w:hAnsi="Arial" w:cs="Arial"/>
          <w:sz w:val="20"/>
          <w:szCs w:val="20"/>
        </w:rPr>
        <w:t>​</w:t>
      </w:r>
      <w:r w:rsidRPr="00592C5D">
        <w:rPr>
          <w:rFonts w:ascii="Verdana" w:hAnsi="Verdana" w:cs="Arial"/>
          <w:sz w:val="20"/>
          <w:szCs w:val="20"/>
        </w:rPr>
        <w:t xml:space="preserve"> </w:t>
      </w:r>
      <w:r w:rsidRPr="00592C5D">
        <w:rPr>
          <w:rStyle w:val="normaltextrun"/>
          <w:rFonts w:ascii="Verdana" w:eastAsiaTheme="majorEastAsia" w:hAnsi="Verdana" w:cs="Arial"/>
          <w:position w:val="-1"/>
          <w:sz w:val="20"/>
          <w:szCs w:val="20"/>
        </w:rPr>
        <w:t xml:space="preserve">Kontrola registrací, omezení </w:t>
      </w:r>
      <w:r>
        <w:rPr>
          <w:rStyle w:val="normaltextrun"/>
          <w:rFonts w:ascii="Verdana" w:eastAsiaTheme="majorEastAsia" w:hAnsi="Verdana" w:cs="Arial"/>
          <w:position w:val="-1"/>
          <w:sz w:val="20"/>
          <w:szCs w:val="20"/>
        </w:rPr>
        <w:t xml:space="preserve">         </w:t>
      </w:r>
      <w:r w:rsidRPr="00592C5D">
        <w:rPr>
          <w:rStyle w:val="normaltextrun"/>
          <w:rFonts w:ascii="Verdana" w:eastAsiaTheme="majorEastAsia" w:hAnsi="Verdana" w:cs="Arial"/>
          <w:position w:val="-1"/>
          <w:sz w:val="20"/>
          <w:szCs w:val="20"/>
        </w:rPr>
        <w:t>i povolení</w:t>
      </w:r>
      <w:r>
        <w:rPr>
          <w:rStyle w:val="normaltextrun"/>
          <w:rFonts w:ascii="Verdana" w:eastAsiaTheme="majorEastAsia" w:hAnsi="Verdana" w:cs="Arial"/>
          <w:position w:val="-1"/>
          <w:sz w:val="20"/>
          <w:szCs w:val="20"/>
        </w:rPr>
        <w:t>.</w:t>
      </w:r>
      <w:r w:rsidRPr="00592C5D">
        <w:rPr>
          <w:rStyle w:val="eop"/>
          <w:rFonts w:ascii="Arial" w:eastAsiaTheme="majorEastAsia" w:hAnsi="Arial" w:cs="Arial"/>
          <w:sz w:val="64"/>
          <w:szCs w:val="64"/>
          <w:lang w:val="pt-PT"/>
        </w:rPr>
        <w:t>​</w:t>
      </w:r>
    </w:p>
    <w:p w14:paraId="5CE587C1" w14:textId="77777777" w:rsidR="00592C5D" w:rsidRPr="00592C5D" w:rsidRDefault="00592C5D" w:rsidP="00592C5D">
      <w:pPr>
        <w:pStyle w:val="paragraph"/>
        <w:spacing w:before="0" w:beforeAutospacing="0" w:after="0" w:afterAutospacing="0"/>
        <w:ind w:left="708"/>
        <w:textAlignment w:val="baseline"/>
        <w:rPr>
          <w:rStyle w:val="eop"/>
          <w:rFonts w:ascii="Verdana" w:eastAsiaTheme="majorEastAsia" w:hAnsi="Verdana" w:cs="Arial"/>
          <w:sz w:val="20"/>
          <w:szCs w:val="20"/>
          <w:lang w:val="pt-PT"/>
        </w:rPr>
      </w:pPr>
    </w:p>
    <w:p w14:paraId="4CE516A3" w14:textId="203B9810" w:rsidR="00592C5D" w:rsidRPr="00592C5D" w:rsidRDefault="00592C5D" w:rsidP="00592C5D">
      <w:pPr>
        <w:pStyle w:val="paragraph"/>
        <w:spacing w:before="0" w:beforeAutospacing="0" w:after="0" w:afterAutospacing="0"/>
        <w:ind w:left="708"/>
        <w:textAlignment w:val="baseline"/>
        <w:rPr>
          <w:rStyle w:val="eop"/>
          <w:rFonts w:ascii="Verdana" w:eastAsiaTheme="majorEastAsia" w:hAnsi="Verdana" w:cs="Arial"/>
          <w:sz w:val="20"/>
          <w:szCs w:val="20"/>
          <w:lang w:val="pt-PT"/>
        </w:rPr>
      </w:pPr>
      <w:r>
        <w:rPr>
          <w:rStyle w:val="eop"/>
          <w:rFonts w:ascii="Verdana" w:eastAsiaTheme="majorEastAsia" w:hAnsi="Verdana" w:cs="Arial"/>
          <w:sz w:val="20"/>
          <w:szCs w:val="20"/>
          <w:lang w:val="pt-PT"/>
        </w:rPr>
        <w:t>Kontrola použití biocidních přípravků podle čl.17 nařízení o biocidech.</w:t>
      </w:r>
    </w:p>
    <w:p w14:paraId="013B585D" w14:textId="77777777" w:rsidR="00592C5D" w:rsidRPr="00592C5D" w:rsidRDefault="00592C5D" w:rsidP="00592C5D">
      <w:pPr>
        <w:pStyle w:val="paragraph"/>
        <w:spacing w:before="0" w:beforeAutospacing="0" w:after="0" w:afterAutospacing="0"/>
        <w:ind w:left="708"/>
        <w:textAlignment w:val="baseline"/>
        <w:rPr>
          <w:rStyle w:val="eop"/>
          <w:rFonts w:ascii="Verdana" w:eastAsiaTheme="majorEastAsia" w:hAnsi="Verdana" w:cs="Arial"/>
          <w:sz w:val="20"/>
          <w:szCs w:val="20"/>
          <w:lang w:val="pt-PT"/>
        </w:rPr>
      </w:pPr>
    </w:p>
    <w:p w14:paraId="7146915E" w14:textId="77777777" w:rsidR="00592C5D" w:rsidRDefault="00592C5D" w:rsidP="00592C5D">
      <w:pPr>
        <w:pStyle w:val="paragraph"/>
        <w:spacing w:before="0" w:beforeAutospacing="0" w:after="0" w:afterAutospacing="0"/>
        <w:ind w:left="708"/>
        <w:textAlignment w:val="baseline"/>
        <w:rPr>
          <w:rStyle w:val="eop"/>
          <w:rFonts w:ascii="Arial" w:eastAsiaTheme="majorEastAsia" w:hAnsi="Arial" w:cs="Arial"/>
          <w:sz w:val="64"/>
          <w:szCs w:val="64"/>
          <w:lang w:val="pt-PT"/>
        </w:rPr>
      </w:pPr>
    </w:p>
    <w:p w14:paraId="4CAF73CE" w14:textId="2A5BE100" w:rsidR="00592C5D" w:rsidRPr="00592C5D" w:rsidRDefault="00592C5D">
      <w:pPr>
        <w:rPr>
          <w:lang w:val="pt-PT"/>
        </w:rPr>
      </w:pPr>
    </w:p>
    <w:p w14:paraId="74F9B2A0" w14:textId="77777777" w:rsidR="002B512B" w:rsidRDefault="002B512B"/>
    <w:sectPr w:rsidR="002B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7734"/>
    <w:multiLevelType w:val="multilevel"/>
    <w:tmpl w:val="C29E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863EE"/>
    <w:multiLevelType w:val="multilevel"/>
    <w:tmpl w:val="D73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9785F"/>
    <w:multiLevelType w:val="hybridMultilevel"/>
    <w:tmpl w:val="BE009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02439">
    <w:abstractNumId w:val="1"/>
  </w:num>
  <w:num w:numId="2" w16cid:durableId="1170565154">
    <w:abstractNumId w:val="2"/>
  </w:num>
  <w:num w:numId="3" w16cid:durableId="178587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13"/>
    <w:rsid w:val="000F636E"/>
    <w:rsid w:val="00266A80"/>
    <w:rsid w:val="002B512B"/>
    <w:rsid w:val="004B2CC3"/>
    <w:rsid w:val="00545F13"/>
    <w:rsid w:val="00582CE7"/>
    <w:rsid w:val="00592C5D"/>
    <w:rsid w:val="00796003"/>
    <w:rsid w:val="00AA0487"/>
    <w:rsid w:val="00AB4615"/>
    <w:rsid w:val="00B826F4"/>
    <w:rsid w:val="00DD4F3B"/>
    <w:rsid w:val="00E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B38A"/>
  <w15:chartTrackingRefBased/>
  <w15:docId w15:val="{51358D46-FDEC-478F-A667-80CD3708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5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5F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5F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5F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5F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5F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5F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5F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5F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5F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F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5F13"/>
    <w:rPr>
      <w:b/>
      <w:bCs/>
      <w:smallCaps/>
      <w:color w:val="0F4761" w:themeColor="accent1" w:themeShade="BF"/>
      <w:spacing w:val="5"/>
    </w:rPr>
  </w:style>
  <w:style w:type="paragraph" w:customStyle="1" w:styleId="-wm-msolistparagraph">
    <w:name w:val="-wm-msolistparagraph"/>
    <w:basedOn w:val="Normln"/>
    <w:rsid w:val="0054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45F13"/>
    <w:rPr>
      <w:b/>
      <w:bCs/>
    </w:rPr>
  </w:style>
  <w:style w:type="paragraph" w:customStyle="1" w:styleId="paragraph">
    <w:name w:val="paragraph"/>
    <w:basedOn w:val="Normln"/>
    <w:rsid w:val="0059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592C5D"/>
  </w:style>
  <w:style w:type="character" w:customStyle="1" w:styleId="eop">
    <w:name w:val="eop"/>
    <w:basedOn w:val="Standardnpsmoodstavce"/>
    <w:rsid w:val="0059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Krejsová</dc:creator>
  <cp:keywords/>
  <dc:description/>
  <cp:lastModifiedBy>Hana Krejsová</cp:lastModifiedBy>
  <cp:revision>1</cp:revision>
  <dcterms:created xsi:type="dcterms:W3CDTF">2024-02-29T16:15:00Z</dcterms:created>
  <dcterms:modified xsi:type="dcterms:W3CDTF">2024-02-29T17:52:00Z</dcterms:modified>
</cp:coreProperties>
</file>