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9A" w:rsidRPr="008E66EF" w:rsidRDefault="00C56D9A" w:rsidP="00C56D9A">
      <w:pPr>
        <w:pStyle w:val="Nadpis2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bookmarkStart w:id="0" w:name="_GoBack"/>
      <w:bookmarkEnd w:id="0"/>
      <w:r w:rsidRPr="008E66EF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Závěry o BAT </w:t>
      </w:r>
    </w:p>
    <w:p w:rsidR="00BA3995" w:rsidRPr="00BA3995" w:rsidRDefault="00BA3995" w:rsidP="00BA3995">
      <w:pPr>
        <w:rPr>
          <w:rFonts w:ascii="Times New Roman" w:hAnsi="Times New Roman" w:cs="Times New Roman"/>
          <w:color w:val="auto"/>
        </w:rPr>
      </w:pPr>
      <w:r w:rsidRPr="00BA3995">
        <w:rPr>
          <w:rFonts w:ascii="Times New Roman" w:hAnsi="Times New Roman" w:cs="Times New Roman"/>
          <w:b/>
        </w:rPr>
        <w:t>Závěry o</w:t>
      </w:r>
      <w:r w:rsidRPr="00BA3995">
        <w:rPr>
          <w:rFonts w:ascii="Times New Roman" w:hAnsi="Times New Roman" w:cs="Times New Roman"/>
        </w:rPr>
        <w:t xml:space="preserve"> nejlepších dostupných technikách (</w:t>
      </w:r>
      <w:r w:rsidRPr="00BA3995">
        <w:rPr>
          <w:rFonts w:ascii="Times New Roman" w:hAnsi="Times New Roman" w:cs="Times New Roman"/>
          <w:b/>
        </w:rPr>
        <w:t>BAT</w:t>
      </w:r>
      <w:r w:rsidRPr="00BA3995">
        <w:rPr>
          <w:rFonts w:ascii="Times New Roman" w:hAnsi="Times New Roman" w:cs="Times New Roman"/>
        </w:rPr>
        <w:t>) se rozumí dokument obsahující části referenčního dokumentu o nejlepších dostupných technikách</w:t>
      </w:r>
      <w:r>
        <w:rPr>
          <w:rFonts w:ascii="Times New Roman" w:hAnsi="Times New Roman" w:cs="Times New Roman"/>
        </w:rPr>
        <w:t xml:space="preserve"> (</w:t>
      </w:r>
      <w:r w:rsidRPr="00BA3995">
        <w:rPr>
          <w:rFonts w:ascii="Times New Roman" w:hAnsi="Times New Roman" w:cs="Times New Roman"/>
          <w:b/>
        </w:rPr>
        <w:t>BREF</w:t>
      </w:r>
      <w:r>
        <w:rPr>
          <w:rFonts w:ascii="Times New Roman" w:hAnsi="Times New Roman" w:cs="Times New Roman"/>
        </w:rPr>
        <w:t>)</w:t>
      </w:r>
      <w:r w:rsidRPr="00BA3995">
        <w:rPr>
          <w:rFonts w:ascii="Times New Roman" w:hAnsi="Times New Roman" w:cs="Times New Roman"/>
        </w:rPr>
        <w:t xml:space="preserve"> stanovící závěry o </w:t>
      </w:r>
      <w:r>
        <w:rPr>
          <w:rFonts w:ascii="Times New Roman" w:hAnsi="Times New Roman" w:cs="Times New Roman"/>
        </w:rPr>
        <w:t>BAT</w:t>
      </w:r>
      <w:r w:rsidR="00220236">
        <w:rPr>
          <w:rFonts w:ascii="Times New Roman" w:hAnsi="Times New Roman" w:cs="Times New Roman"/>
        </w:rPr>
        <w:t>, jejich popis, informace k </w:t>
      </w:r>
      <w:r w:rsidRPr="00BA3995">
        <w:rPr>
          <w:rFonts w:ascii="Times New Roman" w:hAnsi="Times New Roman" w:cs="Times New Roman"/>
        </w:rPr>
        <w:t xml:space="preserve">hodnocení jejich použitelnosti, úrovně emisí spojené s </w:t>
      </w:r>
      <w:r>
        <w:rPr>
          <w:rFonts w:ascii="Times New Roman" w:hAnsi="Times New Roman" w:cs="Times New Roman"/>
        </w:rPr>
        <w:t>BAT</w:t>
      </w:r>
      <w:r w:rsidRPr="00BA3995">
        <w:rPr>
          <w:rFonts w:ascii="Times New Roman" w:hAnsi="Times New Roman" w:cs="Times New Roman"/>
        </w:rPr>
        <w:t xml:space="preserve">, související monitorování, související úrovně spotřeby a případně příslušná sanační opatření </w:t>
      </w:r>
    </w:p>
    <w:p w:rsidR="00BA3995" w:rsidRPr="00BA3995" w:rsidRDefault="00BA3995" w:rsidP="00BA3995">
      <w:pPr>
        <w:rPr>
          <w:rFonts w:ascii="Times New Roman" w:hAnsi="Times New Roman" w:cs="Times New Roman"/>
        </w:rPr>
      </w:pPr>
      <w:r w:rsidRPr="00BA3995">
        <w:rPr>
          <w:rFonts w:ascii="Times New Roman" w:hAnsi="Times New Roman" w:cs="Times New Roman"/>
        </w:rPr>
        <w:t xml:space="preserve">Při stanovení závazných podmínek provozu, zejména emisních limitů, se vychází z </w:t>
      </w:r>
      <w:r>
        <w:rPr>
          <w:rFonts w:ascii="Times New Roman" w:hAnsi="Times New Roman" w:cs="Times New Roman"/>
        </w:rPr>
        <w:t>BAT</w:t>
      </w:r>
      <w:r w:rsidRPr="00BA3995">
        <w:rPr>
          <w:rFonts w:ascii="Times New Roman" w:hAnsi="Times New Roman" w:cs="Times New Roman"/>
        </w:rPr>
        <w:t xml:space="preserve"> a </w:t>
      </w:r>
      <w:r w:rsidRPr="00240DB8">
        <w:rPr>
          <w:rFonts w:ascii="Times New Roman" w:hAnsi="Times New Roman" w:cs="Times New Roman"/>
          <w:b/>
        </w:rPr>
        <w:t>použijí se závěry o BAT</w:t>
      </w:r>
      <w:r w:rsidRPr="00BA3995">
        <w:rPr>
          <w:rFonts w:ascii="Times New Roman" w:hAnsi="Times New Roman" w:cs="Times New Roman"/>
        </w:rPr>
        <w:t xml:space="preserve">, </w:t>
      </w:r>
      <w:r w:rsidRPr="00240DB8">
        <w:rPr>
          <w:rFonts w:ascii="Times New Roman" w:hAnsi="Times New Roman" w:cs="Times New Roman"/>
          <w:b/>
        </w:rPr>
        <w:t>aniž by se však předepisovalo použití jakékoli konkrétní metody či technologie</w:t>
      </w:r>
      <w:r w:rsidRPr="00BA3995">
        <w:rPr>
          <w:rFonts w:ascii="Times New Roman" w:hAnsi="Times New Roman" w:cs="Times New Roman"/>
        </w:rPr>
        <w:t xml:space="preserve">. Stále platí, že stanovené </w:t>
      </w:r>
      <w:r w:rsidRPr="00240DB8">
        <w:rPr>
          <w:rFonts w:ascii="Times New Roman" w:hAnsi="Times New Roman" w:cs="Times New Roman"/>
          <w:b/>
        </w:rPr>
        <w:t>závazné podmínky provozu nesmí být mírnější</w:t>
      </w:r>
      <w:r w:rsidRPr="00BA3995">
        <w:rPr>
          <w:rFonts w:ascii="Times New Roman" w:hAnsi="Times New Roman" w:cs="Times New Roman"/>
        </w:rPr>
        <w:t xml:space="preserve"> než podmínky provozu, které by jinak byly stanoveny podle zvláštních právních předpisů (</w:t>
      </w:r>
      <w:r w:rsidRPr="00240DB8">
        <w:rPr>
          <w:rFonts w:ascii="Times New Roman" w:hAnsi="Times New Roman" w:cs="Times New Roman"/>
          <w:b/>
        </w:rPr>
        <w:t>složkových zákonů</w:t>
      </w:r>
      <w:r w:rsidRPr="00BA3995">
        <w:rPr>
          <w:rFonts w:ascii="Times New Roman" w:hAnsi="Times New Roman" w:cs="Times New Roman"/>
        </w:rPr>
        <w:t xml:space="preserve">). </w:t>
      </w:r>
    </w:p>
    <w:p w:rsidR="00BA3995" w:rsidRPr="00BA3995" w:rsidRDefault="00BA3995" w:rsidP="00BA3995">
      <w:pPr>
        <w:spacing w:after="60"/>
        <w:rPr>
          <w:rFonts w:ascii="Times New Roman" w:hAnsi="Times New Roman" w:cs="Times New Roman"/>
        </w:rPr>
      </w:pPr>
      <w:r w:rsidRPr="00BA3995">
        <w:rPr>
          <w:rFonts w:ascii="Times New Roman" w:hAnsi="Times New Roman" w:cs="Times New Roman"/>
        </w:rPr>
        <w:t xml:space="preserve">Zák. č. 76/2002 Sb., § 20b, odst. (1) stanoví: </w:t>
      </w:r>
    </w:p>
    <w:p w:rsidR="00BA3995" w:rsidRPr="00D15B65" w:rsidRDefault="00BA3995" w:rsidP="00BA3995">
      <w:pPr>
        <w:spacing w:before="0"/>
        <w:rPr>
          <w:rFonts w:ascii="Times New Roman" w:hAnsi="Times New Roman" w:cs="Times New Roman"/>
          <w:i/>
          <w:iCs/>
        </w:rPr>
      </w:pPr>
      <w:r w:rsidRPr="00D15B65">
        <w:rPr>
          <w:rFonts w:ascii="Times New Roman" w:hAnsi="Times New Roman" w:cs="Times New Roman"/>
          <w:i/>
          <w:iCs/>
        </w:rPr>
        <w:t xml:space="preserve">Kontrola, kterou podle tohoto zákona provádí inspekce, zahrnuje veškeré činnosti, včetně výkonu kontroly na místě provozu zařízení, monitorování emisí a kontrol dokumentace a podkladů, ověřování vlastního monitorování, kontrol používaných technik a vhodnosti řízení provozu zařízení z hlediska životního prostředí, prováděné s cílem kontrolovat zařízení z hlediska </w:t>
      </w:r>
      <w:r w:rsidRPr="00D15B65">
        <w:rPr>
          <w:rFonts w:ascii="Times New Roman" w:hAnsi="Times New Roman" w:cs="Times New Roman"/>
          <w:b/>
          <w:bCs/>
          <w:i/>
          <w:iCs/>
        </w:rPr>
        <w:t>dodržovaní povinností stanovených tímto zákonem nebo integrovaným povolením</w:t>
      </w:r>
      <w:r w:rsidRPr="00D15B65">
        <w:rPr>
          <w:rFonts w:ascii="Times New Roman" w:hAnsi="Times New Roman" w:cs="Times New Roman"/>
          <w:i/>
          <w:iCs/>
        </w:rPr>
        <w:t xml:space="preserve">, podporovat dodržovaní těchto povinností a tam, kde je to nezbytné, monitorovat jejich dopad na životní prostředí. </w:t>
      </w:r>
    </w:p>
    <w:p w:rsidR="00BA3995" w:rsidRPr="00E6546B" w:rsidRDefault="00BA3995" w:rsidP="00BA3995">
      <w:pPr>
        <w:rPr>
          <w:rFonts w:ascii="Times New Roman" w:hAnsi="Times New Roman" w:cs="Times New Roman"/>
          <w:b/>
          <w:color w:val="auto"/>
        </w:rPr>
      </w:pPr>
      <w:r w:rsidRPr="00E6546B">
        <w:rPr>
          <w:rFonts w:ascii="Times New Roman" w:hAnsi="Times New Roman" w:cs="Times New Roman"/>
          <w:b/>
          <w:color w:val="auto"/>
        </w:rPr>
        <w:t xml:space="preserve">Z výše uvedeného </w:t>
      </w:r>
      <w:r w:rsidR="00240DB8" w:rsidRPr="00E6546B">
        <w:rPr>
          <w:rFonts w:ascii="Times New Roman" w:hAnsi="Times New Roman" w:cs="Times New Roman"/>
          <w:b/>
          <w:color w:val="auto"/>
        </w:rPr>
        <w:t xml:space="preserve">vyplývá, že </w:t>
      </w:r>
      <w:r w:rsidRPr="00E6546B">
        <w:rPr>
          <w:rFonts w:ascii="Times New Roman" w:hAnsi="Times New Roman" w:cs="Times New Roman"/>
          <w:b/>
          <w:color w:val="auto"/>
        </w:rPr>
        <w:t xml:space="preserve">Inspekce </w:t>
      </w:r>
      <w:r w:rsidR="00240DB8" w:rsidRPr="00E6546B">
        <w:rPr>
          <w:rFonts w:ascii="Times New Roman" w:hAnsi="Times New Roman" w:cs="Times New Roman"/>
          <w:b/>
          <w:color w:val="auto"/>
        </w:rPr>
        <w:t xml:space="preserve">musí být i </w:t>
      </w:r>
      <w:r w:rsidRPr="00E6546B">
        <w:rPr>
          <w:rFonts w:ascii="Times New Roman" w:hAnsi="Times New Roman" w:cs="Times New Roman"/>
          <w:b/>
          <w:color w:val="auto"/>
        </w:rPr>
        <w:t>schopna posou</w:t>
      </w:r>
      <w:r w:rsidR="00633B59">
        <w:rPr>
          <w:rFonts w:ascii="Times New Roman" w:hAnsi="Times New Roman" w:cs="Times New Roman"/>
          <w:b/>
          <w:color w:val="auto"/>
        </w:rPr>
        <w:t>dit nesoulad IP se závěry o BAT!</w:t>
      </w:r>
    </w:p>
    <w:p w:rsidR="00240DB8" w:rsidRDefault="00BA3995" w:rsidP="00C56D9A">
      <w:pPr>
        <w:spacing w:after="240"/>
        <w:rPr>
          <w:rFonts w:ascii="Times New Roman" w:hAnsi="Times New Roman" w:cs="Times New Roman"/>
        </w:rPr>
      </w:pPr>
      <w:r w:rsidRPr="00BA3995">
        <w:rPr>
          <w:rFonts w:ascii="Times New Roman" w:hAnsi="Times New Roman" w:cs="Times New Roman"/>
        </w:rPr>
        <w:t xml:space="preserve">Seznam doposud přijatých závěrů o BAT, viz </w:t>
      </w:r>
      <w:hyperlink r:id="rId8" w:history="1">
        <w:r w:rsidRPr="00BA3995">
          <w:rPr>
            <w:rStyle w:val="Hypertextovodkaz"/>
            <w:rFonts w:ascii="Times New Roman" w:hAnsi="Times New Roman" w:cs="Times New Roman"/>
          </w:rPr>
          <w:t>https://www.mpo.cz/ippc/zavery-o-bat--224367/</w:t>
        </w:r>
      </w:hyperlink>
      <w:r w:rsidRPr="00BA3995">
        <w:rPr>
          <w:rFonts w:ascii="Times New Roman" w:hAnsi="Times New Roman" w:cs="Times New Roman"/>
        </w:rPr>
        <w:t xml:space="preserve">. Úřad </w:t>
      </w:r>
      <w:r w:rsidR="00240DB8">
        <w:rPr>
          <w:rFonts w:ascii="Times New Roman" w:hAnsi="Times New Roman" w:cs="Times New Roman"/>
        </w:rPr>
        <w:t xml:space="preserve">(KÚ) </w:t>
      </w:r>
      <w:r w:rsidRPr="00BA3995">
        <w:rPr>
          <w:rFonts w:ascii="Times New Roman" w:hAnsi="Times New Roman" w:cs="Times New Roman"/>
        </w:rPr>
        <w:t xml:space="preserve">na základě provedeného přezkumu zajistí, aby do 4 let od zveřejnění příslušných závěrů o </w:t>
      </w:r>
      <w:r w:rsidR="00D15B65">
        <w:rPr>
          <w:rFonts w:ascii="Times New Roman" w:hAnsi="Times New Roman" w:cs="Times New Roman"/>
        </w:rPr>
        <w:t>BAT</w:t>
      </w:r>
      <w:r w:rsidRPr="00BA3995">
        <w:rPr>
          <w:rFonts w:ascii="Times New Roman" w:hAnsi="Times New Roman" w:cs="Times New Roman"/>
        </w:rPr>
        <w:t xml:space="preserve"> byly závazné podmínky </w:t>
      </w:r>
      <w:r w:rsidR="00240DB8">
        <w:rPr>
          <w:rFonts w:ascii="Times New Roman" w:hAnsi="Times New Roman" w:cs="Times New Roman"/>
        </w:rPr>
        <w:t>IP</w:t>
      </w:r>
      <w:r w:rsidRPr="00BA3995">
        <w:rPr>
          <w:rFonts w:ascii="Times New Roman" w:hAnsi="Times New Roman" w:cs="Times New Roman"/>
        </w:rPr>
        <w:t xml:space="preserve"> v souladu se závěry o </w:t>
      </w:r>
      <w:r w:rsidR="00D15B65">
        <w:rPr>
          <w:rFonts w:ascii="Times New Roman" w:hAnsi="Times New Roman" w:cs="Times New Roman"/>
        </w:rPr>
        <w:t>BAT</w:t>
      </w:r>
      <w:r w:rsidRPr="00BA3995">
        <w:rPr>
          <w:rFonts w:ascii="Times New Roman" w:hAnsi="Times New Roman" w:cs="Times New Roman"/>
        </w:rPr>
        <w:t xml:space="preserve"> a aby provozovatel zařízení byl povinen tyto podmínky dodržovat. </w:t>
      </w:r>
      <w:r w:rsidR="00C56D9A" w:rsidRPr="00BA3995">
        <w:rPr>
          <w:rFonts w:ascii="Times New Roman" w:hAnsi="Times New Roman" w:cs="Times New Roman"/>
        </w:rPr>
        <w:t>Všechna prováděcí rozhodnutí Komise</w:t>
      </w:r>
      <w:r w:rsidR="00240DB8">
        <w:rPr>
          <w:rFonts w:ascii="Times New Roman" w:hAnsi="Times New Roman" w:cs="Times New Roman"/>
        </w:rPr>
        <w:t xml:space="preserve"> EU</w:t>
      </w:r>
      <w:r w:rsidR="00C56D9A" w:rsidRPr="00BA3995">
        <w:rPr>
          <w:rFonts w:ascii="Times New Roman" w:hAnsi="Times New Roman" w:cs="Times New Roman"/>
        </w:rPr>
        <w:t xml:space="preserve">, kterými se stanoví závěry o BAT podle </w:t>
      </w:r>
      <w:r w:rsidR="00240DB8">
        <w:rPr>
          <w:rFonts w:ascii="Times New Roman" w:hAnsi="Times New Roman" w:cs="Times New Roman"/>
          <w:bCs/>
        </w:rPr>
        <w:t>S</w:t>
      </w:r>
      <w:r w:rsidR="00240DB8" w:rsidRPr="00BA3995">
        <w:rPr>
          <w:rFonts w:ascii="Times New Roman" w:hAnsi="Times New Roman" w:cs="Times New Roman"/>
          <w:bCs/>
        </w:rPr>
        <w:t xml:space="preserve">měrnice </w:t>
      </w:r>
      <w:r w:rsidR="00240DB8">
        <w:rPr>
          <w:rFonts w:ascii="Times New Roman" w:hAnsi="Times New Roman" w:cs="Times New Roman"/>
          <w:bCs/>
        </w:rPr>
        <w:t xml:space="preserve">o průmyslových emisích </w:t>
      </w:r>
      <w:r w:rsidR="00240DB8" w:rsidRPr="00BA3995">
        <w:rPr>
          <w:rFonts w:ascii="Times New Roman" w:hAnsi="Times New Roman" w:cs="Times New Roman"/>
          <w:bCs/>
        </w:rPr>
        <w:t>2010/75/EU</w:t>
      </w:r>
      <w:r w:rsidR="00240DB8" w:rsidRPr="00BA3995">
        <w:rPr>
          <w:rFonts w:ascii="Times New Roman" w:hAnsi="Times New Roman" w:cs="Times New Roman"/>
        </w:rPr>
        <w:t xml:space="preserve"> </w:t>
      </w:r>
      <w:r w:rsidR="00240DB8">
        <w:rPr>
          <w:rFonts w:ascii="Times New Roman" w:hAnsi="Times New Roman" w:cs="Times New Roman"/>
        </w:rPr>
        <w:t>(</w:t>
      </w:r>
      <w:r w:rsidR="00C56D9A" w:rsidRPr="00240DB8">
        <w:rPr>
          <w:rFonts w:ascii="Times New Roman" w:hAnsi="Times New Roman" w:cs="Times New Roman"/>
          <w:b/>
        </w:rPr>
        <w:t>IED</w:t>
      </w:r>
      <w:r w:rsidR="00240DB8">
        <w:rPr>
          <w:rFonts w:ascii="Times New Roman" w:hAnsi="Times New Roman" w:cs="Times New Roman"/>
        </w:rPr>
        <w:t>)</w:t>
      </w:r>
      <w:r w:rsidR="00C56D9A" w:rsidRPr="00BA3995">
        <w:rPr>
          <w:rFonts w:ascii="Times New Roman" w:hAnsi="Times New Roman" w:cs="Times New Roman"/>
        </w:rPr>
        <w:t>, jsou </w:t>
      </w:r>
      <w:r w:rsidR="00C56D9A" w:rsidRPr="00D15B65">
        <w:rPr>
          <w:rFonts w:ascii="Times New Roman" w:hAnsi="Times New Roman" w:cs="Times New Roman"/>
          <w:b/>
        </w:rPr>
        <w:t>zveřejněna v Úředním věstníku EU.</w:t>
      </w:r>
      <w:r w:rsidR="00C56D9A" w:rsidRPr="00BA3995">
        <w:rPr>
          <w:rFonts w:ascii="Times New Roman" w:hAnsi="Times New Roman" w:cs="Times New Roman"/>
        </w:rPr>
        <w:t xml:space="preserve"> </w:t>
      </w:r>
    </w:p>
    <w:p w:rsidR="00C56D9A" w:rsidRPr="00170AC1" w:rsidRDefault="00D61F29" w:rsidP="00C56D9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 dni</w:t>
      </w:r>
      <w:r w:rsidR="00C56D9A" w:rsidRPr="00170AC1">
        <w:rPr>
          <w:rFonts w:ascii="Times New Roman" w:hAnsi="Times New Roman" w:cs="Times New Roman"/>
          <w:b/>
          <w:u w:val="single"/>
        </w:rPr>
        <w:t xml:space="preserve"> dni </w:t>
      </w:r>
      <w:r>
        <w:rPr>
          <w:rFonts w:ascii="Times New Roman" w:hAnsi="Times New Roman" w:cs="Times New Roman"/>
          <w:b/>
          <w:u w:val="single"/>
        </w:rPr>
        <w:t>7</w:t>
      </w:r>
      <w:r w:rsidR="00240DB8" w:rsidRPr="00170AC1">
        <w:rPr>
          <w:rFonts w:ascii="Times New Roman" w:hAnsi="Times New Roman" w:cs="Times New Roman"/>
          <w:b/>
          <w:u w:val="single"/>
        </w:rPr>
        <w:t>.</w:t>
      </w:r>
      <w:r w:rsidR="00220236" w:rsidRPr="00170AC1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6</w:t>
      </w:r>
      <w:r w:rsidR="00240DB8" w:rsidRPr="00170AC1">
        <w:rPr>
          <w:rFonts w:ascii="Times New Roman" w:hAnsi="Times New Roman" w:cs="Times New Roman"/>
          <w:b/>
          <w:u w:val="single"/>
        </w:rPr>
        <w:t>.</w:t>
      </w:r>
      <w:r w:rsidR="00220236" w:rsidRPr="00170AC1">
        <w:rPr>
          <w:rFonts w:ascii="Times New Roman" w:hAnsi="Times New Roman" w:cs="Times New Roman"/>
          <w:b/>
          <w:u w:val="single"/>
        </w:rPr>
        <w:t xml:space="preserve"> </w:t>
      </w:r>
      <w:r w:rsidR="00240DB8" w:rsidRPr="00170AC1">
        <w:rPr>
          <w:rFonts w:ascii="Times New Roman" w:hAnsi="Times New Roman" w:cs="Times New Roman"/>
          <w:b/>
          <w:u w:val="single"/>
        </w:rPr>
        <w:t xml:space="preserve">2019 </w:t>
      </w:r>
      <w:r w:rsidR="00C56D9A" w:rsidRPr="00170AC1">
        <w:rPr>
          <w:rFonts w:ascii="Times New Roman" w:hAnsi="Times New Roman" w:cs="Times New Roman"/>
          <w:b/>
          <w:u w:val="single"/>
        </w:rPr>
        <w:t xml:space="preserve">bylo přijato </w:t>
      </w:r>
      <w:r w:rsidR="00240DB8" w:rsidRPr="00170AC1">
        <w:rPr>
          <w:rFonts w:ascii="Times New Roman" w:hAnsi="Times New Roman" w:cs="Times New Roman"/>
          <w:b/>
          <w:u w:val="single"/>
        </w:rPr>
        <w:t>a zveřejněno</w:t>
      </w:r>
      <w:r w:rsidR="00C56D9A" w:rsidRPr="00170AC1">
        <w:rPr>
          <w:rFonts w:ascii="Times New Roman" w:hAnsi="Times New Roman" w:cs="Times New Roman"/>
          <w:b/>
          <w:u w:val="single"/>
        </w:rPr>
        <w:t xml:space="preserve"> podle čl. 75 IED 1</w:t>
      </w:r>
      <w:r>
        <w:rPr>
          <w:rFonts w:ascii="Times New Roman" w:hAnsi="Times New Roman" w:cs="Times New Roman"/>
          <w:b/>
          <w:u w:val="single"/>
        </w:rPr>
        <w:t>4</w:t>
      </w:r>
      <w:r w:rsidR="00C56D9A" w:rsidRPr="00170AC1">
        <w:rPr>
          <w:rFonts w:ascii="Times New Roman" w:hAnsi="Times New Roman" w:cs="Times New Roman"/>
          <w:b/>
          <w:u w:val="single"/>
        </w:rPr>
        <w:t xml:space="preserve"> závěrů o BAT</w:t>
      </w:r>
      <w:r w:rsidR="00240DB8" w:rsidRPr="00170AC1">
        <w:rPr>
          <w:rFonts w:ascii="Times New Roman" w:hAnsi="Times New Roman" w:cs="Times New Roman"/>
          <w:b/>
          <w:u w:val="single"/>
        </w:rPr>
        <w:t>:</w:t>
      </w:r>
      <w:r w:rsidR="00C56D9A" w:rsidRPr="00170AC1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4334"/>
        <w:gridCol w:w="1763"/>
        <w:gridCol w:w="2045"/>
      </w:tblGrid>
      <w:tr w:rsidR="00C56D9A" w:rsidRPr="00BA3995" w:rsidTr="00D61F29">
        <w:trPr>
          <w:tblHeader/>
        </w:trPr>
        <w:tc>
          <w:tcPr>
            <w:tcW w:w="1296" w:type="dxa"/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Úřední věstník EU</w:t>
            </w:r>
          </w:p>
        </w:tc>
        <w:tc>
          <w:tcPr>
            <w:tcW w:w="4334" w:type="dxa"/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Zkrácený název</w:t>
            </w:r>
          </w:p>
        </w:tc>
        <w:tc>
          <w:tcPr>
            <w:tcW w:w="1763" w:type="dxa"/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Implementační rozhodnutí</w:t>
            </w:r>
          </w:p>
        </w:tc>
        <w:tc>
          <w:tcPr>
            <w:tcW w:w="2045" w:type="dxa"/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Dotčené kategorie zákona o integrované prevenci / IED</w:t>
            </w:r>
          </w:p>
        </w:tc>
      </w:tr>
      <w:tr w:rsidR="00C56D9A" w:rsidRPr="00BA3995" w:rsidTr="00D61F29">
        <w:trPr>
          <w:trHeight w:val="333"/>
        </w:trPr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08.03.2012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 xml:space="preserve">Závěry o BAT pro sklářský průmysl 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2012/135/EU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3.3., 3.4.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08.03.2012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výrobu železa a oceli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2012/134/EU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1.3., 2.1., 2.2.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16.02.2013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vydělávání kůží a kožešin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2013/84/EU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6.3.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footnoteReference w:id="1"/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09.04.2013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výrobu cementu, vápna a oxidu hořečnatého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2013/163/EU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3.1.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11.12.2013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výrobu chloru a louhu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2013/732/EU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4.2. a)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footnoteReference w:id="2"/>
            </w:r>
            <w:r w:rsidRPr="00BA3995">
              <w:rPr>
                <w:rFonts w:ascii="Times New Roman" w:hAnsi="Times New Roman" w:cs="Times New Roman"/>
              </w:rPr>
              <w:t>, 4.2. c)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výrobu buničiny, papíru a lepenky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2014/687/EU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6.1. a), 6.1. b)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28.10.2014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rafinaci minerálních olejů a plynů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 xml:space="preserve">2014/738/EU  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1.2.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24.11.2015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výrobu desek na bázi dřeva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(EU) 2015/2119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6.1. c)</w:t>
            </w:r>
          </w:p>
        </w:tc>
      </w:tr>
      <w:tr w:rsidR="00C56D9A" w:rsidRPr="00BA3995" w:rsidTr="00D61F29"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lastRenderedPageBreak/>
              <w:t>09.06.2016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společné systémy čištění odpadních vod a odpadních plynů a nakládání s nimi v odvětví chemického průmyslu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(EU) 2016/902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6.11.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footnoteReference w:id="3"/>
            </w:r>
            <w:r w:rsidRPr="00BA3995">
              <w:rPr>
                <w:rFonts w:ascii="Times New Roman" w:hAnsi="Times New Roman" w:cs="Times New Roman"/>
              </w:rPr>
              <w:t xml:space="preserve"> , 4.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footnoteReference w:id="4"/>
            </w:r>
          </w:p>
        </w:tc>
      </w:tr>
      <w:tr w:rsidR="00C56D9A" w:rsidRPr="00BA3995" w:rsidTr="00D61F29">
        <w:trPr>
          <w:cantSplit/>
        </w:trPr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30.06.2016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kern w:val="36"/>
              </w:rPr>
            </w:pPr>
            <w:r w:rsidRPr="00BA3995">
              <w:rPr>
                <w:rFonts w:ascii="Times New Roman" w:hAnsi="Times New Roman" w:cs="Times New Roman"/>
              </w:rPr>
              <w:t>Závěry o BAT pro odvětví neželezných kovů</w:t>
            </w:r>
          </w:p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(EU) 2016/1032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2.1., 2.5. a)</w:t>
            </w:r>
          </w:p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2.5. b)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footnoteReference w:id="5"/>
            </w:r>
            <w:r w:rsidRPr="00BA3995">
              <w:rPr>
                <w:rFonts w:ascii="Times New Roman" w:hAnsi="Times New Roman" w:cs="Times New Roman"/>
              </w:rPr>
              <w:t xml:space="preserve"> , 6.8.</w:t>
            </w:r>
          </w:p>
        </w:tc>
      </w:tr>
      <w:tr w:rsidR="00C56D9A" w:rsidRPr="00BA3995" w:rsidTr="00D61F29">
        <w:trPr>
          <w:trHeight w:val="591"/>
        </w:trPr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21.2.2017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Závěry o BAT pro intenzivní chov drůbeže nebo prasat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(EU) 2017/302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6.6.</w:t>
            </w:r>
          </w:p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D61F29">
        <w:trPr>
          <w:trHeight w:val="591"/>
        </w:trPr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31.7.2017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Závěry o BAT pro velká spalovací zařízení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(EU) 2017/1442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1.1.</w:t>
            </w:r>
          </w:p>
        </w:tc>
      </w:tr>
      <w:tr w:rsidR="00C56D9A" w:rsidRPr="00BA3995" w:rsidTr="00D61F29">
        <w:trPr>
          <w:trHeight w:val="591"/>
        </w:trPr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21.11.2017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 xml:space="preserve">Závěry o BAT pro výrobu velkoobjemových organických chemikálií </w:t>
            </w:r>
            <w:r w:rsidRPr="00BA3995">
              <w:rPr>
                <w:rStyle w:val="Znakapoznpodarou"/>
                <w:rFonts w:ascii="Times New Roman" w:hAnsi="Times New Roman" w:cs="Times New Roman"/>
                <w:color w:val="auto"/>
              </w:rPr>
              <w:footnoteReference w:id="6"/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(EU) 2017/2117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4.1. a), 4.1. b), 4.1. c), 4.1. d), 4.1. e), 4.1. f), 4.1. g), 4.1. k), 4.2. e)</w:t>
            </w:r>
            <w:r w:rsidRPr="00BA39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C56D9A" w:rsidRPr="00BA3995" w:rsidTr="00D61F29">
        <w:trPr>
          <w:trHeight w:val="204"/>
        </w:trPr>
        <w:tc>
          <w:tcPr>
            <w:tcW w:w="1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17.8.2018</w:t>
            </w:r>
          </w:p>
        </w:tc>
        <w:tc>
          <w:tcPr>
            <w:tcW w:w="4334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Závěry o BAT pro zpracování odpadů</w:t>
            </w:r>
          </w:p>
        </w:tc>
        <w:tc>
          <w:tcPr>
            <w:tcW w:w="1763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(EU) 2018/1147</w:t>
            </w:r>
          </w:p>
        </w:tc>
        <w:tc>
          <w:tcPr>
            <w:tcW w:w="2045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5.1. a), 5.1. b), 5.1. c), 5.1. d), 5.1. e), 5.1. f) 5.1. g), 5.1. h), 5.1. i), 5.1. j), 5.3. a), 5.3. b), 5.5, 6.11.</w:t>
            </w:r>
          </w:p>
        </w:tc>
      </w:tr>
    </w:tbl>
    <w:p w:rsidR="00D61F29" w:rsidRPr="00353445" w:rsidRDefault="00D61F29" w:rsidP="00D61F29">
      <w:pPr>
        <w:numPr>
          <w:ilvl w:val="0"/>
          <w:numId w:val="1"/>
        </w:numPr>
        <w:autoSpaceDE/>
        <w:autoSpaceDN/>
        <w:adjustRightInd/>
        <w:spacing w:before="480" w:after="0"/>
        <w:ind w:left="714" w:hanging="357"/>
        <w:jc w:val="left"/>
        <w:rPr>
          <w:rFonts w:ascii="Times New Roman" w:hAnsi="Times New Roman" w:cs="Times New Roman"/>
        </w:rPr>
      </w:pPr>
      <w:bookmarkStart w:id="1" w:name="_Toc440448296"/>
      <w:bookmarkStart w:id="2" w:name="_Toc483290219"/>
      <w:r w:rsidRPr="00353445">
        <w:rPr>
          <w:rFonts w:ascii="Times New Roman" w:hAnsi="Times New Roman" w:cs="Times New Roman"/>
          <w:b/>
          <w:bCs/>
        </w:rPr>
        <w:t>Referenční dokument o BAT (BREF) “Sklářský průmysl”</w:t>
      </w:r>
    </w:p>
    <w:p w:rsidR="00D61F29" w:rsidRPr="00353445" w:rsidRDefault="00D61F29" w:rsidP="00D61F29">
      <w:pPr>
        <w:spacing w:before="100" w:beforeAutospacing="1" w:after="0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8. března 2012 bylo v Úředním věstníku EU publikováno prováděcí rozhodnutí Komise, kterým se stanoví závěry o nejlepších dostupných technikách (BAT) podle směrnice Evropského parlamentu a Rady 2010/75/EU o průmyslových emisích pro výrobu skla (</w:t>
      </w:r>
      <w:hyperlink r:id="rId9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2012/134/EU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2924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lastRenderedPageBreak/>
        <w:t xml:space="preserve">Referenční dokument o BAT (BREF) “Výroba železa a oceli” 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8. března 2012 bylo v Úředním věstníku EU publikováno prováděcí rozhodnutí Komise, kterým se stanoví závěry o nejlepších dostupných technikách (BAT) podle směrnice Evropského parlamentu a Rady  2010/75/EU o průmyslových emisích pro výrobu železa a oceli (</w:t>
      </w:r>
      <w:hyperlink r:id="rId10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2012/135/EU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2924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 xml:space="preserve">Referenční dokument o BAT (BREF) “Koželužský průmysl” 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16. února 2013 bylo v Úředním věstníku EU publikováno prováděcí rozhodnutí Komise, kterým se stanoví závěry o nejlepších dostupných technikách (BAT) podle směrnice Evropského parlamentu a Rady 2010/75/EU o průmyslových emisích pro vydělávání kůží a kožešin (</w:t>
      </w:r>
      <w:hyperlink r:id="rId11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2013/84/EU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887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“Výroba cementu, vápna a oxidu hořečnatého”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9. dubna 2013 bylo v Úředním věstníku EU publikováno prováděcí rozhodnutí Komise, kterým se stanoví závěry o nejlepších dostupných technikách (BAT) podle směrnice Evropské parlamentu a Rady 2010/75/EU o průmyslových emisích pro výrobu cementu, vápna a oxidu hořečnatého (</w:t>
      </w:r>
      <w:hyperlink r:id="rId12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2013/163/EU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1228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“Výroba chloru a louhu</w:t>
      </w:r>
      <w:r w:rsidRPr="00353445">
        <w:rPr>
          <w:rFonts w:ascii="Times New Roman" w:hAnsi="Times New Roman" w:cs="Times New Roman"/>
        </w:rPr>
        <w:t>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11. prosince 2013 bylo v Úředním věstníku EU publikováno prováděcí rozhodnutí Komise, kterým se stanoví závěry o nejlepších dostupných technikách (BAT) podle směrnice Evropského parlamentu a Rady 2010/75/EU o průmyslových emisích pro výrobu chloru a alkalických hydroxidů (</w:t>
      </w:r>
      <w:hyperlink r:id="rId13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2013/732/EU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866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“Průmysl papíru a celulózy”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26. září 2014 bylo v Úředním věstníku EU publikováno prováděcí rozhodnutí Komise, kterým se stanoví závěry o nejlepších dostupných technikách (BAT) pro výrobu buničiny, papíru a lepenky podle směrnice Evropského parlamentu a Rady 2010/75/EU o průmyslových emisích (</w:t>
      </w:r>
      <w:hyperlink r:id="rId14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2014/687/EU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1125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Oprava prováděcího rozhodnutí Komise 2014/687/EU ze dne 26. září 2014, kterým se stanoví závěry o nejlepších dostupných technikách (BAT) podle směrnice Evropského parlamentu a Rady 2010/75/EU pro výrobu buničiny, papíru a lepenky byla vydána v  </w:t>
      </w:r>
      <w:hyperlink r:id="rId15" w:history="1">
        <w:r w:rsidRPr="00353445">
          <w:rPr>
            <w:rFonts w:ascii="Times New Roman" w:hAnsi="Times New Roman" w:cs="Times New Roman"/>
            <w:b/>
            <w:bCs/>
            <w:color w:val="0000FF"/>
            <w:u w:val="single"/>
          </w:rPr>
          <w:t>Úředním věstníku L 348, 4. 12. 2014</w:t>
        </w:r>
      </w:hyperlink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Další oprava prováděcího rozhodnutí Komise 2014/687/EU ze dne 26. září 2014, kterým se stanoví závěry o nejlepších dostupných technikách (BAT) podle směrnice Evropského parlamentu a Rady 2010/75/EU pro výrobu buničiny, papíru a lepenky byla vydána v  </w:t>
      </w:r>
      <w:hyperlink r:id="rId16" w:history="1">
        <w:r w:rsidRPr="00353445">
          <w:rPr>
            <w:rFonts w:ascii="Times New Roman" w:hAnsi="Times New Roman" w:cs="Times New Roman"/>
            <w:b/>
            <w:bCs/>
            <w:color w:val="0000FF"/>
            <w:u w:val="single"/>
          </w:rPr>
          <w:t>Úředním věstníku EU L 159/41, 22. 6. 2018.</w:t>
        </w:r>
      </w:hyperlink>
    </w:p>
    <w:p w:rsidR="00D61F29" w:rsidRPr="00353445" w:rsidRDefault="00D61F29" w:rsidP="00D61F29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“Rafinerie ropy a zemního plynu”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9. října 2014 bylo v Úředním věstníku EU publikováno prováděcí rozhodnutí Komise, kterým se stanoví závěry o nejlepších dostupných technikách (BAT) pro rafinaci minerálních olejů a plynů podle směrnice Evropského parlamentu a Rady 2010/75/EU o průmyslových emisích (</w:t>
      </w:r>
      <w:hyperlink r:id="rId17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2014/738/EU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598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lastRenderedPageBreak/>
        <w:t>Oprava prováděcího rozhodnutí Komise 2014/738/EU ze dne 9. října 2014, kterým se stanoví závěry o nejlepších dostupných technikách (BAT) podle směrnice Evropského parlamentu a Rady 2010/75/EU pro rafinaci minerálních olejů a plynů byla vydána v </w:t>
      </w:r>
      <w:hyperlink r:id="rId18" w:history="1">
        <w:r w:rsidRPr="00353445">
          <w:rPr>
            <w:rFonts w:ascii="Times New Roman" w:hAnsi="Times New Roman" w:cs="Times New Roman"/>
            <w:b/>
            <w:bCs/>
            <w:color w:val="0000FF"/>
            <w:u w:val="single"/>
          </w:rPr>
          <w:t>Úředním věstníku L62, 6. 3. 2015</w:t>
        </w:r>
      </w:hyperlink>
    </w:p>
    <w:p w:rsidR="00D61F29" w:rsidRPr="00353445" w:rsidRDefault="00D61F29" w:rsidP="00D61F29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“Výroba desek na bázi dřeva”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24. listopadu 2015 bylo v Úředním věstníku EU publikováno prováděcí rozhodnutí Komise, kterým se stanoví závěry o nejlepších dostupných technikách (BAT) pro výrobu desek na bázi dřeva podle směrnice Evropského parlamentu a Rady 2010/75/EU o průmyslových emisích (</w:t>
      </w:r>
      <w:hyperlink r:id="rId19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2015/2119/EU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453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“Běžné čistění odpadních vod a odpadních plynů”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30. května 2016 bylo v Úředním věstníku EU publikováno prováděcí rozhodnutí Komise, kterým se stanoví závěry o nejlepších dostupných technikách (BAT) pro společné systémy čištění odpadních vod a odpadních plynů a nakládání s nimi v odvětví chemického průmyslu podle směrnice Evropského parlamentu a Rady 2010/75/EU o průmyslových emisích (</w:t>
      </w:r>
      <w:hyperlink r:id="rId20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2016/902/EU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524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“Zpracování neželezných kovů”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13. června 2016 bylo v Úředním věstníku EU publikováno prováděcí rozhodnutí Komise, kterým se stanoví závěry o nejlepších dostupných technikách (BAT) pro odvětví neželezných kovů podle směrnice Evropského parlamentu a Rady 2010/75/EU o průmyslových emisích (</w:t>
      </w:r>
      <w:hyperlink r:id="rId21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2016/1032/EU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1580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 BAT (BREF) “Intenzivní chov drůbeže nebo prasat"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15. února 2017 bylo v Úředním věstníku EU publikováno prováděcí rozhodnutí Komise (EU) 2017/302, kterým se stanoví závěry o nejlepších dostupných technikách (BAT) pro intenzivní chov drůbeže nebo prasat podle směrnice Evropského parlamentu a Rady 2010/75/EU o průmyslových emisích (</w:t>
      </w:r>
      <w:hyperlink r:id="rId22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2017/302/EU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644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 BAT (BREF) "Velká spalovací zařízení"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31. července 2017 bylo v Úředním věstníku EU publikováno prováděcí rozhodnutí Komise (EU) 2017/1442, kterým se stanoví závěry o nejlepších dostupných technikách (BAT) pro velká spalovací zařízení podle směrnice Evropského parlamentu a Rady 2010/75/EU o průmyslových emisích (</w:t>
      </w:r>
      <w:hyperlink r:id="rId23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2017/1442/EU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1574 kB]</w:t>
      </w:r>
      <w:r w:rsidRPr="00353445">
        <w:rPr>
          <w:rFonts w:ascii="Times New Roman" w:hAnsi="Times New Roman" w:cs="Times New Roman"/>
        </w:rPr>
        <w:t>).</w:t>
      </w:r>
    </w:p>
    <w:p w:rsidR="00D61F29" w:rsidRPr="00353445" w:rsidRDefault="00D61F29" w:rsidP="00D61F29">
      <w:pPr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t>Referenční dokument o BAT (BREF) "Výroba velkého množství organických látek"</w:t>
      </w:r>
    </w:p>
    <w:p w:rsidR="00D61F29" w:rsidRPr="00353445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21. listopadu 2017 bylo v Úředním věstníku EU publikováno prováděcí rozhodnutí Komise (EU) 2017/2117, kterým se stanoví závěry o nejlepších dostupných technikách (BAT) pro výrobu velkého množství organických chemických látek podle směrnice Evropského parlamentu a Rady 2010/75/EU o průmyslových emisích (</w:t>
      </w:r>
      <w:hyperlink r:id="rId24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2017/2117/EU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815 kB]</w:t>
      </w:r>
      <w:r w:rsidRPr="00353445">
        <w:rPr>
          <w:rFonts w:ascii="Times New Roman" w:hAnsi="Times New Roman" w:cs="Times New Roman"/>
        </w:rPr>
        <w:t>).</w:t>
      </w:r>
    </w:p>
    <w:p w:rsidR="00D61F29" w:rsidRDefault="00D61F29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Oprava prováděcího rozhodnutí Komise (EU) 2017/2117 ze dne 21. listopadu 2017, kterým se stanoví závěry o nejlepších dostupných technikách (BAT) podle směrnice Evropského parlamentu a Rady 2010/75/EU pro výrobu velkého množství organických chemických látek v </w:t>
      </w:r>
      <w:hyperlink r:id="rId25" w:history="1">
        <w:r w:rsidRPr="00353445">
          <w:rPr>
            <w:rFonts w:ascii="Times New Roman" w:hAnsi="Times New Roman" w:cs="Times New Roman"/>
            <w:b/>
            <w:bCs/>
            <w:color w:val="0000FF"/>
            <w:u w:val="single"/>
          </w:rPr>
          <w:t>Úředním věstníku EU L 323, 7. 12. 201</w:t>
        </w:r>
      </w:hyperlink>
      <w:hyperlink r:id="rId26" w:history="1">
        <w:r w:rsidRPr="00353445">
          <w:rPr>
            <w:rFonts w:ascii="Times New Roman" w:hAnsi="Times New Roman" w:cs="Times New Roman"/>
            <w:b/>
            <w:bCs/>
            <w:color w:val="0000FF"/>
            <w:u w:val="single"/>
          </w:rPr>
          <w:t>7</w:t>
        </w:r>
      </w:hyperlink>
      <w:r w:rsidRPr="00353445">
        <w:rPr>
          <w:rFonts w:ascii="Times New Roman" w:hAnsi="Times New Roman" w:cs="Times New Roman"/>
        </w:rPr>
        <w:t> </w:t>
      </w:r>
    </w:p>
    <w:p w:rsidR="008E66EF" w:rsidRPr="00353445" w:rsidRDefault="008E66EF" w:rsidP="00D61F29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D61F29" w:rsidRPr="00353445" w:rsidRDefault="00D61F29" w:rsidP="00D61F29">
      <w:pPr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left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  <w:b/>
          <w:bCs/>
        </w:rPr>
        <w:lastRenderedPageBreak/>
        <w:t>Referenční dokument o BAT (BREF) "Průmysl zpracování odpadu"</w:t>
      </w:r>
    </w:p>
    <w:p w:rsidR="00D61F29" w:rsidRDefault="00D61F29" w:rsidP="00D61F29">
      <w:pPr>
        <w:spacing w:before="100" w:beforeAutospacing="1" w:after="360"/>
        <w:rPr>
          <w:rFonts w:ascii="Times New Roman" w:hAnsi="Times New Roman" w:cs="Times New Roman"/>
        </w:rPr>
      </w:pPr>
      <w:r w:rsidRPr="00353445">
        <w:rPr>
          <w:rFonts w:ascii="Times New Roman" w:hAnsi="Times New Roman" w:cs="Times New Roman"/>
        </w:rPr>
        <w:t>Dne 10. srpna 2018 bylo v Úředním věstníku EU publikováno prováděcí rozhodnutí Komise (EU) 2018/1147, kterým se stanoví závěry o nejlepších dostupných technikách (BAT) pro zpracování odpadu podle směrnice Evropského parlamentu a Rady 2010/75/EU o průmyslových emisích (</w:t>
      </w:r>
      <w:hyperlink r:id="rId27" w:history="1">
        <w:r w:rsidRPr="00353445">
          <w:rPr>
            <w:rFonts w:ascii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 </w:t>
        </w:r>
        <w:r w:rsidRPr="0035344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Rozhodnutí 2018/1147/EU</w:t>
        </w:r>
      </w:hyperlink>
      <w:r w:rsidRPr="00353445">
        <w:rPr>
          <w:rFonts w:ascii="Times New Roman" w:hAnsi="Times New Roman" w:cs="Times New Roman"/>
          <w:sz w:val="26"/>
          <w:szCs w:val="26"/>
        </w:rPr>
        <w:t xml:space="preserve"> </w:t>
      </w:r>
      <w:r w:rsidRPr="00353445">
        <w:rPr>
          <w:rFonts w:ascii="Times New Roman" w:hAnsi="Times New Roman" w:cs="Times New Roman"/>
          <w:i/>
          <w:iCs/>
          <w:sz w:val="26"/>
          <w:szCs w:val="26"/>
        </w:rPr>
        <w:t>[pdf, 723 kB]</w:t>
      </w:r>
      <w:r w:rsidRPr="00353445">
        <w:rPr>
          <w:rFonts w:ascii="Times New Roman" w:hAnsi="Times New Roman" w:cs="Times New Roman"/>
        </w:rPr>
        <w:t>).</w:t>
      </w:r>
    </w:p>
    <w:p w:rsidR="00C56D9A" w:rsidRPr="00BA3995" w:rsidRDefault="00C56D9A" w:rsidP="00C56D9A">
      <w:pPr>
        <w:rPr>
          <w:rFonts w:ascii="Times New Roman" w:hAnsi="Times New Roman" w:cs="Times New Roman"/>
        </w:rPr>
      </w:pPr>
    </w:p>
    <w:bookmarkEnd w:id="1"/>
    <w:bookmarkEnd w:id="2"/>
    <w:p w:rsidR="008E66EF" w:rsidRPr="00E6546B" w:rsidRDefault="008E66EF" w:rsidP="008E66EF">
      <w:pPr>
        <w:pStyle w:val="Nadpis2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6546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Harmonogram přezkumů integrovaných povolení </w:t>
      </w:r>
    </w:p>
    <w:p w:rsidR="008E66EF" w:rsidRDefault="008E66EF" w:rsidP="008E66EF">
      <w:pPr>
        <w:spacing w:after="360"/>
        <w:rPr>
          <w:rFonts w:ascii="Times New Roman" w:hAnsi="Times New Roman" w:cs="Times New Roman"/>
        </w:rPr>
      </w:pPr>
      <w:r w:rsidRPr="00BA3995">
        <w:rPr>
          <w:rFonts w:ascii="Times New Roman" w:hAnsi="Times New Roman" w:cs="Times New Roman"/>
        </w:rPr>
        <w:t xml:space="preserve">V České republice je </w:t>
      </w:r>
      <w:r>
        <w:rPr>
          <w:rFonts w:ascii="Times New Roman" w:hAnsi="Times New Roman" w:cs="Times New Roman"/>
        </w:rPr>
        <w:t xml:space="preserve">tedy </w:t>
      </w:r>
      <w:r w:rsidRPr="00BA3995">
        <w:rPr>
          <w:rFonts w:ascii="Times New Roman" w:hAnsi="Times New Roman" w:cs="Times New Roman"/>
        </w:rPr>
        <w:t xml:space="preserve">na základě zveřejněných závěrů o BAT nutno provést </w:t>
      </w:r>
      <w:r w:rsidRPr="00220236">
        <w:rPr>
          <w:rFonts w:ascii="Times New Roman" w:hAnsi="Times New Roman" w:cs="Times New Roman"/>
          <w:b/>
        </w:rPr>
        <w:t>stovky přezkumů</w:t>
      </w:r>
      <w:r w:rsidRPr="00BA3995">
        <w:rPr>
          <w:rFonts w:ascii="Times New Roman" w:hAnsi="Times New Roman" w:cs="Times New Roman"/>
        </w:rPr>
        <w:t xml:space="preserve"> závazných podmínek </w:t>
      </w:r>
      <w:r>
        <w:rPr>
          <w:rFonts w:ascii="Times New Roman" w:hAnsi="Times New Roman" w:cs="Times New Roman"/>
        </w:rPr>
        <w:t>IP</w:t>
      </w:r>
      <w:r w:rsidRPr="00BA3995">
        <w:rPr>
          <w:rFonts w:ascii="Times New Roman" w:hAnsi="Times New Roman" w:cs="Times New Roman"/>
        </w:rPr>
        <w:t xml:space="preserve"> podle § 18 odst. 3 zákona o integrované prevenci. </w:t>
      </w:r>
    </w:p>
    <w:p w:rsidR="008E66EF" w:rsidRPr="00D61F29" w:rsidRDefault="008E66EF" w:rsidP="008E66EF">
      <w:pPr>
        <w:rPr>
          <w:rFonts w:ascii="Times New Roman" w:eastAsia="Arial Unicode MS" w:hAnsi="Times New Roman" w:cs="Times New Roman"/>
        </w:rPr>
      </w:pPr>
      <w:r w:rsidRPr="00170AC1">
        <w:rPr>
          <w:rFonts w:ascii="Times New Roman" w:hAnsi="Times New Roman" w:cs="Times New Roman"/>
          <w:b/>
          <w:color w:val="auto"/>
          <w:u w:val="single"/>
        </w:rPr>
        <w:t>Časový rámec přezkumů (konečné termíny):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1985"/>
        <w:gridCol w:w="2296"/>
      </w:tblGrid>
      <w:tr w:rsidR="00C56D9A" w:rsidRPr="00BA3995" w:rsidTr="00170AC1">
        <w:trPr>
          <w:tblHeader/>
        </w:trPr>
        <w:tc>
          <w:tcPr>
            <w:tcW w:w="4791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Závěry o BAT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 xml:space="preserve">Hlavní kategorie dle přílohy č.1 </w:t>
            </w:r>
            <w:r w:rsidRPr="00BA3995">
              <w:rPr>
                <w:rStyle w:val="Znakapoznpodarou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Přezkum integrovaných povolení</w:t>
            </w:r>
          </w:p>
        </w:tc>
      </w:tr>
      <w:tr w:rsidR="00C56D9A" w:rsidRPr="00BA3995" w:rsidTr="000E70FE">
        <w:tc>
          <w:tcPr>
            <w:tcW w:w="4791" w:type="dxa"/>
            <w:shd w:val="clear" w:color="auto" w:fill="auto"/>
          </w:tcPr>
          <w:p w:rsidR="00C56D9A" w:rsidRPr="00220236" w:rsidRDefault="00C56D9A" w:rsidP="000E70FE">
            <w:pPr>
              <w:pStyle w:val="Nadpis7"/>
              <w:spacing w:after="40"/>
              <w:jc w:val="left"/>
              <w:rPr>
                <w:rFonts w:ascii="Times New Roman" w:hAnsi="Times New Roman" w:cs="Times New Roman"/>
                <w:b/>
                <w:i w:val="0"/>
              </w:rPr>
            </w:pPr>
            <w:r w:rsidRPr="00220236">
              <w:rPr>
                <w:rFonts w:ascii="Times New Roman" w:hAnsi="Times New Roman" w:cs="Times New Roman"/>
                <w:i w:val="0"/>
                <w:color w:val="auto"/>
              </w:rPr>
              <w:t>Sklářský průmysl</w:t>
            </w:r>
          </w:p>
        </w:tc>
        <w:tc>
          <w:tcPr>
            <w:tcW w:w="1985" w:type="dxa"/>
            <w:shd w:val="clear" w:color="auto" w:fill="auto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3.3., 3.4.</w:t>
            </w:r>
          </w:p>
        </w:tc>
        <w:tc>
          <w:tcPr>
            <w:tcW w:w="2296" w:type="dxa"/>
            <w:shd w:val="clear" w:color="auto" w:fill="auto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Březen 2016</w:t>
            </w:r>
          </w:p>
        </w:tc>
      </w:tr>
      <w:tr w:rsidR="00C56D9A" w:rsidRPr="00BA3995" w:rsidTr="000E70FE">
        <w:tc>
          <w:tcPr>
            <w:tcW w:w="4791" w:type="dxa"/>
            <w:shd w:val="clear" w:color="auto" w:fill="auto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Výroba železa a oceli</w:t>
            </w:r>
          </w:p>
        </w:tc>
        <w:tc>
          <w:tcPr>
            <w:tcW w:w="1985" w:type="dxa"/>
            <w:shd w:val="clear" w:color="auto" w:fill="auto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1.3., 2.1., 2.2.</w:t>
            </w:r>
          </w:p>
        </w:tc>
        <w:tc>
          <w:tcPr>
            <w:tcW w:w="2296" w:type="dxa"/>
            <w:shd w:val="clear" w:color="auto" w:fill="auto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Březen 2016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Výroba cementu, vápna a oxidu hořečnatého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Duben 2017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Výroba chloru a louhu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4.2. a), c)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Prosinec 2017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Výroba buničiny, papíru a lepenky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6.1. a), b)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Září 2018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Rafinérie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Říjen 2018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Výroba desek na bázi dřeva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6.1. c)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Listopad 2019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eastAsia="Calibri" w:hAnsi="Times New Roman" w:cs="Times New Roman"/>
              </w:rPr>
              <w:t>Společné systémy čištění odpadních vod a odpadních plynů a nakládání s nimi v odvětví chemického průmyslu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Červen 2020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Neželezné kovy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2.5. a), 2.5. b)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Červen 2020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Intenzivní chov drůbeže nebo prasat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Únor 2021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Velká spalovací zařízení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Červenec 2021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Velkoobjemové organické chemikálie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4.1. a), 4.1. b), 4.1. c), 4.1. d), 4.1. e), 4.1. f), 4.1. g), 4.1. k), 4.2. e)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Listopad 2021</w:t>
            </w:r>
          </w:p>
        </w:tc>
      </w:tr>
      <w:tr w:rsidR="00C56D9A" w:rsidRPr="00BA3995" w:rsidTr="000E70FE">
        <w:tc>
          <w:tcPr>
            <w:tcW w:w="4791" w:type="dxa"/>
          </w:tcPr>
          <w:p w:rsidR="00C56D9A" w:rsidRPr="00BA3995" w:rsidRDefault="00C56D9A" w:rsidP="000E70FE">
            <w:pPr>
              <w:spacing w:before="40" w:after="4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Závěry o BAT pro zpracování odpadů</w:t>
            </w:r>
          </w:p>
        </w:tc>
        <w:tc>
          <w:tcPr>
            <w:tcW w:w="1985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</w:rPr>
              <w:t>5.1. a), 5.1. b), 5.1. c), 5.1. d), 5.1. e), 5.1. f) 5.1. g), 5.1. h), 5.1. i), 5.1. j), 5.3. a), 5.3. b), 5.5, 6.11.</w:t>
            </w:r>
          </w:p>
        </w:tc>
        <w:tc>
          <w:tcPr>
            <w:tcW w:w="2296" w:type="dxa"/>
          </w:tcPr>
          <w:p w:rsidR="00C56D9A" w:rsidRPr="00BA3995" w:rsidRDefault="00C56D9A" w:rsidP="000E70FE">
            <w:pPr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Srpen 2022</w:t>
            </w:r>
          </w:p>
        </w:tc>
      </w:tr>
    </w:tbl>
    <w:p w:rsidR="00C56D9A" w:rsidRPr="00BA3995" w:rsidRDefault="00C56D9A" w:rsidP="00FC635B">
      <w:pPr>
        <w:spacing w:before="360"/>
        <w:rPr>
          <w:rFonts w:ascii="Times New Roman" w:hAnsi="Times New Roman" w:cs="Times New Roman"/>
        </w:rPr>
      </w:pPr>
      <w:r w:rsidRPr="00BA3995">
        <w:rPr>
          <w:rFonts w:ascii="Times New Roman" w:hAnsi="Times New Roman" w:cs="Times New Roman"/>
        </w:rPr>
        <w:t xml:space="preserve">Relevantnost závěrů o BAT a dotčených </w:t>
      </w:r>
      <w:r w:rsidR="00FC635B">
        <w:rPr>
          <w:rFonts w:ascii="Times New Roman" w:hAnsi="Times New Roman" w:cs="Times New Roman"/>
        </w:rPr>
        <w:t>IP</w:t>
      </w:r>
      <w:r w:rsidRPr="00BA3995">
        <w:rPr>
          <w:rFonts w:ascii="Times New Roman" w:hAnsi="Times New Roman" w:cs="Times New Roman"/>
        </w:rPr>
        <w:t xml:space="preserve"> vychází z hlavní činnosti. Pokud zařízení spadá do více kategorií podle přílohy č. 1 zákona o integrované prevenci / přílohy I IED, je nutné určit jednu z kategorií jako hlavní. Postup je popsán v metodickém dokumentu </w:t>
      </w:r>
      <w:r w:rsidR="00D15B65">
        <w:rPr>
          <w:rFonts w:ascii="Times New Roman" w:hAnsi="Times New Roman" w:cs="Times New Roman"/>
        </w:rPr>
        <w:t xml:space="preserve">(dne </w:t>
      </w:r>
      <w:r w:rsidR="00D15B65" w:rsidRPr="00BA3995">
        <w:rPr>
          <w:rFonts w:ascii="Times New Roman" w:hAnsi="Times New Roman" w:cs="Times New Roman"/>
        </w:rPr>
        <w:t>17.</w:t>
      </w:r>
      <w:r w:rsidR="00FC635B">
        <w:rPr>
          <w:rFonts w:ascii="Times New Roman" w:hAnsi="Times New Roman" w:cs="Times New Roman"/>
        </w:rPr>
        <w:t xml:space="preserve"> </w:t>
      </w:r>
      <w:r w:rsidR="00D15B65" w:rsidRPr="00BA3995">
        <w:rPr>
          <w:rFonts w:ascii="Times New Roman" w:hAnsi="Times New Roman" w:cs="Times New Roman"/>
        </w:rPr>
        <w:t>4.</w:t>
      </w:r>
      <w:r w:rsidR="00FC635B">
        <w:rPr>
          <w:rFonts w:ascii="Times New Roman" w:hAnsi="Times New Roman" w:cs="Times New Roman"/>
        </w:rPr>
        <w:t xml:space="preserve"> </w:t>
      </w:r>
      <w:r w:rsidR="00D15B65" w:rsidRPr="00BA3995">
        <w:rPr>
          <w:rFonts w:ascii="Times New Roman" w:hAnsi="Times New Roman" w:cs="Times New Roman"/>
        </w:rPr>
        <w:t xml:space="preserve">2014 byl </w:t>
      </w:r>
      <w:r w:rsidR="00D15B65">
        <w:rPr>
          <w:rFonts w:ascii="Times New Roman" w:hAnsi="Times New Roman" w:cs="Times New Roman"/>
        </w:rPr>
        <w:t>MŽP</w:t>
      </w:r>
      <w:r w:rsidR="00FC635B">
        <w:rPr>
          <w:rFonts w:ascii="Times New Roman" w:hAnsi="Times New Roman" w:cs="Times New Roman"/>
        </w:rPr>
        <w:t xml:space="preserve"> zveřejněn v </w:t>
      </w:r>
      <w:r w:rsidR="00D15B65" w:rsidRPr="00BA3995">
        <w:rPr>
          <w:rFonts w:ascii="Times New Roman" w:hAnsi="Times New Roman" w:cs="Times New Roman"/>
        </w:rPr>
        <w:t xml:space="preserve">informačním systému </w:t>
      </w:r>
      <w:r w:rsidR="00D15B65" w:rsidRPr="00BA3995">
        <w:rPr>
          <w:rFonts w:ascii="Times New Roman" w:hAnsi="Times New Roman" w:cs="Times New Roman"/>
        </w:rPr>
        <w:lastRenderedPageBreak/>
        <w:t>integrované prevence (</w:t>
      </w:r>
      <w:hyperlink r:id="rId28" w:history="1">
        <w:r w:rsidR="00FC635B" w:rsidRPr="00B00278">
          <w:rPr>
            <w:rStyle w:val="Hypertextovodkaz"/>
            <w:rFonts w:ascii="Times New Roman" w:hAnsi="Times New Roman" w:cs="Times New Roman"/>
          </w:rPr>
          <w:t>www.mzp.cz/ippc</w:t>
        </w:r>
      </w:hyperlink>
      <w:r w:rsidR="00D15B65" w:rsidRPr="00BA3995">
        <w:rPr>
          <w:rFonts w:ascii="Times New Roman" w:hAnsi="Times New Roman" w:cs="Times New Roman"/>
        </w:rPr>
        <w:t xml:space="preserve">) metodický dokument k problematice ekonomického hodnocení dosažení úrovní emisí spojených s </w:t>
      </w:r>
      <w:r w:rsidR="00FC635B">
        <w:rPr>
          <w:rFonts w:ascii="Times New Roman" w:hAnsi="Times New Roman" w:cs="Times New Roman"/>
        </w:rPr>
        <w:t>BAT</w:t>
      </w:r>
      <w:r w:rsidR="00D15B65" w:rsidRPr="00BA3995">
        <w:rPr>
          <w:rFonts w:ascii="Times New Roman" w:hAnsi="Times New Roman" w:cs="Times New Roman"/>
        </w:rPr>
        <w:t xml:space="preserve"> a odborného posouzení k zákonu č. 76/2002 Sb</w:t>
      </w:r>
      <w:r w:rsidR="00220236">
        <w:rPr>
          <w:rFonts w:ascii="Times New Roman" w:hAnsi="Times New Roman" w:cs="Times New Roman"/>
        </w:rPr>
        <w:t>.</w:t>
      </w:r>
      <w:r w:rsidR="00D15B65" w:rsidRPr="00BA3995">
        <w:rPr>
          <w:rFonts w:ascii="Times New Roman" w:hAnsi="Times New Roman" w:cs="Times New Roman"/>
        </w:rPr>
        <w:t xml:space="preserve"> </w:t>
      </w:r>
      <w:r w:rsidRPr="00BA3995">
        <w:rPr>
          <w:rFonts w:ascii="Times New Roman" w:hAnsi="Times New Roman" w:cs="Times New Roman"/>
        </w:rPr>
        <w:t>k problematice ekonomického hodnocení dosažení úrovní emisí spojených s </w:t>
      </w:r>
      <w:r w:rsidR="00FC635B">
        <w:rPr>
          <w:rFonts w:ascii="Times New Roman" w:hAnsi="Times New Roman" w:cs="Times New Roman"/>
        </w:rPr>
        <w:t>BAT</w:t>
      </w:r>
      <w:r w:rsidRPr="00BA3995">
        <w:rPr>
          <w:rFonts w:ascii="Times New Roman" w:hAnsi="Times New Roman" w:cs="Times New Roman"/>
        </w:rPr>
        <w:t xml:space="preserve"> a odborného posou</w:t>
      </w:r>
      <w:r w:rsidR="00FC635B">
        <w:rPr>
          <w:rFonts w:ascii="Times New Roman" w:hAnsi="Times New Roman" w:cs="Times New Roman"/>
        </w:rPr>
        <w:t xml:space="preserve">zení (kapitola 2.2.). Následující tabulka </w:t>
      </w:r>
      <w:r w:rsidRPr="00BA3995">
        <w:rPr>
          <w:rFonts w:ascii="Times New Roman" w:hAnsi="Times New Roman" w:cs="Times New Roman"/>
        </w:rPr>
        <w:t xml:space="preserve">uvádí všechna stávající zařízení v dotčené kategorie bez omezení aplikovatelnosti jednotlivých závěrů o BAT s výjimkou výroby chloru a louhu. </w:t>
      </w:r>
    </w:p>
    <w:p w:rsidR="003F0342" w:rsidRDefault="00240DB8" w:rsidP="003F034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Konečné datum </w:t>
      </w:r>
      <w:r w:rsidR="00C56D9A" w:rsidRPr="00BA3995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="00C56D9A" w:rsidRPr="00BA3995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="00C56D9A" w:rsidRPr="00BA3995">
        <w:rPr>
          <w:rFonts w:ascii="Times New Roman" w:hAnsi="Times New Roman" w:cs="Times New Roman"/>
          <w:bCs/>
        </w:rPr>
        <w:t xml:space="preserve">leté lhůty, která je uvedena v § 18 odst. 3 zákona o integrované prevenci, se odvozuje z datace příslušného čísla Úředního věstníku EU. Nejedná se tedy o dataci vlastního implementačního rozhodnutí Komise. </w:t>
      </w:r>
    </w:p>
    <w:p w:rsidR="00C56D9A" w:rsidRDefault="003F0342" w:rsidP="008E66EF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Pozn.: m</w:t>
      </w:r>
      <w:r w:rsidR="00C56D9A" w:rsidRPr="00BA3995">
        <w:rPr>
          <w:rFonts w:ascii="Times New Roman" w:hAnsi="Times New Roman" w:cs="Times New Roman"/>
          <w:bCs/>
        </w:rPr>
        <w:t xml:space="preserve">ůže se jednat o 2 rozdílné údaje – např.  Prováděcí rozhodnutí Komise (EU) 2016/902 ze dne 30. </w:t>
      </w:r>
      <w:r>
        <w:rPr>
          <w:rFonts w:ascii="Times New Roman" w:hAnsi="Times New Roman" w:cs="Times New Roman"/>
          <w:bCs/>
        </w:rPr>
        <w:t>5.</w:t>
      </w:r>
      <w:r w:rsidR="00C56D9A" w:rsidRPr="00BA3995">
        <w:rPr>
          <w:rFonts w:ascii="Times New Roman" w:hAnsi="Times New Roman" w:cs="Times New Roman"/>
          <w:bCs/>
        </w:rPr>
        <w:t xml:space="preserve"> 20</w:t>
      </w:r>
      <w:r w:rsidR="00D15B65">
        <w:rPr>
          <w:rFonts w:ascii="Times New Roman" w:hAnsi="Times New Roman" w:cs="Times New Roman"/>
          <w:bCs/>
        </w:rPr>
        <w:t xml:space="preserve">16, kterým se stanoví závěry o </w:t>
      </w:r>
      <w:r w:rsidR="00C56D9A" w:rsidRPr="00BA3995">
        <w:rPr>
          <w:rFonts w:ascii="Times New Roman" w:hAnsi="Times New Roman" w:cs="Times New Roman"/>
          <w:bCs/>
        </w:rPr>
        <w:t xml:space="preserve">BAT podle směrnice </w:t>
      </w:r>
      <w:r w:rsidR="00220236">
        <w:rPr>
          <w:rFonts w:ascii="Times New Roman" w:hAnsi="Times New Roman" w:cs="Times New Roman"/>
          <w:bCs/>
        </w:rPr>
        <w:t>IED</w:t>
      </w:r>
      <w:r w:rsidR="00C56D9A" w:rsidRPr="00BA3995">
        <w:rPr>
          <w:rFonts w:ascii="Times New Roman" w:hAnsi="Times New Roman" w:cs="Times New Roman"/>
          <w:bCs/>
        </w:rPr>
        <w:t xml:space="preserve"> pro společné systémy čištění odpadních vod a odpadních plynů a nakládání s nimi v odvětví chemického průmyslu bylo zveřejněno v Úředním věstníku EU </w:t>
      </w:r>
      <w:r w:rsidR="00C56D9A" w:rsidRPr="00BA3995">
        <w:rPr>
          <w:rFonts w:ascii="Times New Roman" w:hAnsi="Times New Roman" w:cs="Times New Roman"/>
        </w:rPr>
        <w:t>L 152 dne 9.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6.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2016. Uvedené 4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-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letá lhůta se tedy počítá od 9.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6.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2016 a nikoliv od 30.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5.</w:t>
      </w:r>
      <w:r w:rsidR="00FC635B">
        <w:rPr>
          <w:rFonts w:ascii="Times New Roman" w:hAnsi="Times New Roman" w:cs="Times New Roman"/>
        </w:rPr>
        <w:t xml:space="preserve"> </w:t>
      </w:r>
      <w:r w:rsidR="00C56D9A" w:rsidRPr="00BA3995">
        <w:rPr>
          <w:rFonts w:ascii="Times New Roman" w:hAnsi="Times New Roman" w:cs="Times New Roman"/>
        </w:rPr>
        <w:t>2016.</w:t>
      </w:r>
    </w:p>
    <w:p w:rsidR="00D15B65" w:rsidRPr="00170AC1" w:rsidRDefault="00D15B65" w:rsidP="00D15B65">
      <w:pPr>
        <w:rPr>
          <w:rFonts w:ascii="Times New Roman" w:eastAsia="Arial Unicode MS" w:hAnsi="Times New Roman" w:cs="Times New Roman"/>
          <w:b/>
          <w:u w:val="single"/>
        </w:rPr>
      </w:pPr>
      <w:r w:rsidRPr="00170AC1">
        <w:rPr>
          <w:rFonts w:ascii="Times New Roman" w:eastAsia="Arial Unicode MS" w:hAnsi="Times New Roman" w:cs="Times New Roman"/>
          <w:b/>
          <w:u w:val="single"/>
        </w:rPr>
        <w:t>Aktuální počty potenciálně dotčených povolení podle kategorií a krajů</w:t>
      </w:r>
      <w:r w:rsidR="00240DB8" w:rsidRPr="00170AC1">
        <w:rPr>
          <w:rFonts w:ascii="Times New Roman" w:eastAsia="Arial Unicode MS" w:hAnsi="Times New Roman" w:cs="Times New Roman"/>
          <w:b/>
          <w:u w:val="single"/>
        </w:rPr>
        <w:t>: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C56D9A" w:rsidRPr="00BA3995" w:rsidTr="00170AC1">
        <w:trPr>
          <w:trHeight w:val="444"/>
          <w:jc w:val="center"/>
        </w:trPr>
        <w:tc>
          <w:tcPr>
            <w:tcW w:w="1552" w:type="dxa"/>
            <w:shd w:val="clear" w:color="000000" w:fill="B4C6E7" w:themeFill="accent5" w:themeFillTint="66"/>
            <w:noWrap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Hlavní kategorie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6.1. c)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6.11.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2.5. a)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2.5. b)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6.6.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3995">
              <w:rPr>
                <w:rFonts w:ascii="Times New Roman" w:hAnsi="Times New Roman" w:cs="Times New Roman"/>
                <w:b/>
                <w:color w:val="auto"/>
              </w:rPr>
              <w:t>1.1.</w:t>
            </w:r>
          </w:p>
        </w:tc>
        <w:tc>
          <w:tcPr>
            <w:tcW w:w="910" w:type="dxa"/>
            <w:shd w:val="clear" w:color="000000" w:fill="B4C6E7" w:themeFill="accent5" w:themeFillTint="66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3995">
              <w:rPr>
                <w:rFonts w:ascii="Times New Roman" w:hAnsi="Times New Roman" w:cs="Times New Roman"/>
                <w:b/>
                <w:color w:val="auto"/>
              </w:rPr>
              <w:t>4.1. a) – g), 4.1. k), 4.2. e)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autoSpaceDE/>
              <w:autoSpaceDN/>
              <w:adjustRightInd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995">
              <w:rPr>
                <w:rFonts w:ascii="Times New Roman" w:hAnsi="Times New Roman" w:cs="Times New Roman"/>
                <w:b/>
                <w:bCs/>
              </w:rPr>
              <w:t>5.1. (a - j)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autoSpaceDE/>
              <w:autoSpaceDN/>
              <w:adjustRightInd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995">
              <w:rPr>
                <w:rFonts w:ascii="Times New Roman" w:hAnsi="Times New Roman" w:cs="Times New Roman"/>
                <w:b/>
                <w:bCs/>
              </w:rPr>
              <w:t>5.3. (a, b)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autoSpaceDE/>
              <w:autoSpaceDN/>
              <w:adjustRightInd/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995">
              <w:rPr>
                <w:rFonts w:ascii="Times New Roman" w:hAnsi="Times New Roman" w:cs="Times New Roman"/>
                <w:b/>
                <w:bCs/>
              </w:rPr>
              <w:t>5.5.</w:t>
            </w:r>
          </w:p>
        </w:tc>
      </w:tr>
      <w:tr w:rsidR="00C56D9A" w:rsidRPr="00BA3995" w:rsidTr="00170AC1">
        <w:trPr>
          <w:trHeight w:val="201"/>
          <w:jc w:val="center"/>
        </w:trPr>
        <w:tc>
          <w:tcPr>
            <w:tcW w:w="1552" w:type="dxa"/>
            <w:tcBorders>
              <w:bottom w:val="single" w:sz="4" w:space="0" w:color="auto"/>
            </w:tcBorders>
            <w:shd w:val="clear" w:color="000000" w:fill="B4C6E7" w:themeFill="accent5" w:themeFillTint="66"/>
            <w:noWrap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Kraj / revize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11/2019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06/2020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06/2020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06/2020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02/2021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3995">
              <w:rPr>
                <w:rFonts w:ascii="Times New Roman" w:hAnsi="Times New Roman" w:cs="Times New Roman"/>
                <w:b/>
                <w:color w:val="auto"/>
              </w:rPr>
              <w:t>07/2021</w:t>
            </w:r>
          </w:p>
        </w:tc>
        <w:tc>
          <w:tcPr>
            <w:tcW w:w="910" w:type="dxa"/>
            <w:shd w:val="clear" w:color="000000" w:fill="B4C6E7" w:themeFill="accent5" w:themeFillTint="66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3995">
              <w:rPr>
                <w:rFonts w:ascii="Times New Roman" w:hAnsi="Times New Roman" w:cs="Times New Roman"/>
                <w:b/>
                <w:color w:val="auto"/>
              </w:rPr>
              <w:t>11/2021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995">
              <w:rPr>
                <w:rFonts w:ascii="Times New Roman" w:hAnsi="Times New Roman" w:cs="Times New Roman"/>
                <w:b/>
                <w:bCs/>
              </w:rPr>
              <w:t>8/2022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995">
              <w:rPr>
                <w:rFonts w:ascii="Times New Roman" w:hAnsi="Times New Roman" w:cs="Times New Roman"/>
                <w:b/>
                <w:bCs/>
              </w:rPr>
              <w:t>8/2022</w:t>
            </w:r>
          </w:p>
        </w:tc>
        <w:tc>
          <w:tcPr>
            <w:tcW w:w="910" w:type="dxa"/>
            <w:shd w:val="clear" w:color="000000" w:fill="B4C6E7" w:themeFill="accent5" w:themeFillTint="66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995">
              <w:rPr>
                <w:rFonts w:ascii="Times New Roman" w:hAnsi="Times New Roman" w:cs="Times New Roman"/>
                <w:b/>
                <w:bCs/>
              </w:rPr>
              <w:t>8/2022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noWrap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Praha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noWrap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Středočeský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4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Jihočeský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noWrap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Plzeňský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Karlovarský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Ústecký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Liberecký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Královéhradecký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Pardubický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Vysočina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Jihomoravský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Olomoucký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Zlínský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Moravskoslezský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910" w:type="dxa"/>
            <w:noWrap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399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56D9A" w:rsidRPr="00BA3995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A3995">
              <w:rPr>
                <w:rFonts w:ascii="Times New Roman" w:hAnsi="Times New Roman" w:cs="Times New Roman"/>
              </w:rPr>
              <w:t>2</w:t>
            </w:r>
          </w:p>
        </w:tc>
      </w:tr>
      <w:tr w:rsidR="00C56D9A" w:rsidRPr="00BA3995" w:rsidTr="00170AC1">
        <w:trPr>
          <w:trHeight w:val="297"/>
          <w:jc w:val="center"/>
        </w:trPr>
        <w:tc>
          <w:tcPr>
            <w:tcW w:w="1552" w:type="dxa"/>
            <w:shd w:val="clear" w:color="000000" w:fill="B4C6E7" w:themeFill="accent5" w:themeFillTint="66"/>
            <w:noWrap/>
            <w:hideMark/>
          </w:tcPr>
          <w:p w:rsidR="00C56D9A" w:rsidRPr="00BA3995" w:rsidRDefault="00C56D9A" w:rsidP="000E70FE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A3995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36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408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94</w:t>
            </w:r>
          </w:p>
        </w:tc>
        <w:tc>
          <w:tcPr>
            <w:tcW w:w="910" w:type="dxa"/>
            <w:noWrap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color w:val="FF0000"/>
              </w:rPr>
              <w:t>66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bCs/>
                <w:color w:val="FF0000"/>
              </w:rPr>
              <w:t>96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bCs/>
                <w:color w:val="FF0000"/>
              </w:rPr>
              <w:t>18</w:t>
            </w:r>
          </w:p>
        </w:tc>
        <w:tc>
          <w:tcPr>
            <w:tcW w:w="910" w:type="dxa"/>
          </w:tcPr>
          <w:p w:rsidR="00C56D9A" w:rsidRPr="008E66EF" w:rsidRDefault="00C56D9A" w:rsidP="000E70F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E66EF">
              <w:rPr>
                <w:rFonts w:ascii="Times New Roman" w:hAnsi="Times New Roman" w:cs="Times New Roman"/>
                <w:b/>
                <w:bCs/>
                <w:color w:val="FF0000"/>
              </w:rPr>
              <w:t>11</w:t>
            </w:r>
          </w:p>
        </w:tc>
      </w:tr>
    </w:tbl>
    <w:p w:rsidR="00C56D9A" w:rsidRDefault="00C56D9A" w:rsidP="00D15B65">
      <w:pPr>
        <w:jc w:val="center"/>
        <w:rPr>
          <w:rFonts w:ascii="Times New Roman" w:eastAsia="Arial Unicode MS" w:hAnsi="Times New Roman" w:cs="Times New Roman"/>
          <w:i/>
        </w:rPr>
      </w:pPr>
    </w:p>
    <w:sectPr w:rsidR="00C56D9A" w:rsidSect="00D15B65"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C4" w:rsidRDefault="00C57EC4" w:rsidP="00D30FEF">
      <w:pPr>
        <w:spacing w:before="0" w:after="0"/>
      </w:pPr>
      <w:r>
        <w:separator/>
      </w:r>
    </w:p>
  </w:endnote>
  <w:endnote w:type="continuationSeparator" w:id="0">
    <w:p w:rsidR="00C57EC4" w:rsidRDefault="00C57EC4" w:rsidP="00D30F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269213"/>
      <w:docPartObj>
        <w:docPartGallery w:val="Page Numbers (Bottom of Page)"/>
        <w:docPartUnique/>
      </w:docPartObj>
    </w:sdtPr>
    <w:sdtEndPr/>
    <w:sdtContent>
      <w:p w:rsidR="00C56D9A" w:rsidRDefault="00C56D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96E">
          <w:rPr>
            <w:noProof/>
          </w:rPr>
          <w:t>5</w:t>
        </w:r>
        <w:r>
          <w:fldChar w:fldCharType="end"/>
        </w:r>
        <w:r>
          <w:t>/</w:t>
        </w:r>
        <w:r w:rsidR="00DD0367">
          <w:rPr>
            <w:noProof/>
          </w:rPr>
          <w:fldChar w:fldCharType="begin"/>
        </w:r>
        <w:r w:rsidR="00DD0367">
          <w:rPr>
            <w:noProof/>
          </w:rPr>
          <w:instrText xml:space="preserve"> NUMPAGES   \* MERGEFORMAT </w:instrText>
        </w:r>
        <w:r w:rsidR="00DD0367">
          <w:rPr>
            <w:noProof/>
          </w:rPr>
          <w:fldChar w:fldCharType="separate"/>
        </w:r>
        <w:r w:rsidR="000F496E">
          <w:rPr>
            <w:noProof/>
          </w:rPr>
          <w:t>6</w:t>
        </w:r>
        <w:r w:rsidR="00DD0367">
          <w:rPr>
            <w:noProof/>
          </w:rPr>
          <w:fldChar w:fldCharType="end"/>
        </w:r>
      </w:p>
    </w:sdtContent>
  </w:sdt>
  <w:p w:rsidR="00C56D9A" w:rsidRDefault="00C56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C4" w:rsidRDefault="00C57EC4" w:rsidP="00D30FEF">
      <w:pPr>
        <w:spacing w:before="0" w:after="0"/>
      </w:pPr>
      <w:r>
        <w:separator/>
      </w:r>
    </w:p>
  </w:footnote>
  <w:footnote w:type="continuationSeparator" w:id="0">
    <w:p w:rsidR="00C57EC4" w:rsidRDefault="00C57EC4" w:rsidP="00D30FEF">
      <w:pPr>
        <w:spacing w:before="0" w:after="0"/>
      </w:pPr>
      <w:r>
        <w:continuationSeparator/>
      </w:r>
    </w:p>
  </w:footnote>
  <w:footnote w:id="1">
    <w:p w:rsidR="00C56D9A" w:rsidRPr="00E00BD6" w:rsidRDefault="00C56D9A" w:rsidP="00C56D9A">
      <w:pPr>
        <w:pStyle w:val="Textpoznpodarou"/>
      </w:pPr>
      <w:r w:rsidRPr="00E00BD6">
        <w:rPr>
          <w:rStyle w:val="Znakapoznpodarou"/>
        </w:rPr>
        <w:footnoteRef/>
      </w:r>
      <w:r w:rsidRPr="00E00BD6">
        <w:t xml:space="preserve"> Jedná se o závěry o BAT, které se netýkají žádného zařízení v České republice z důvodu nenaplnění definice příslušné kategorie podle přílohy č. 1 zákona o integrované prevenci / Přílohy I IED.</w:t>
      </w:r>
    </w:p>
  </w:footnote>
  <w:footnote w:id="2">
    <w:p w:rsidR="00C56D9A" w:rsidRPr="00306633" w:rsidRDefault="00C56D9A" w:rsidP="00C56D9A">
      <w:pPr>
        <w:pStyle w:val="CM1"/>
        <w:spacing w:before="40" w:after="40"/>
        <w:jc w:val="both"/>
        <w:rPr>
          <w:rFonts w:ascii="Calibri" w:hAnsi="Calibri"/>
          <w:sz w:val="20"/>
          <w:szCs w:val="20"/>
        </w:rPr>
      </w:pPr>
      <w:r w:rsidRPr="00306633">
        <w:rPr>
          <w:rStyle w:val="Znakapoznpodarou"/>
          <w:rFonts w:ascii="Calibri" w:hAnsi="Calibri"/>
          <w:sz w:val="20"/>
          <w:szCs w:val="20"/>
        </w:rPr>
        <w:footnoteRef/>
      </w:r>
      <w:r w:rsidRPr="00306633">
        <w:rPr>
          <w:rFonts w:ascii="Calibri" w:hAnsi="Calibri"/>
          <w:sz w:val="20"/>
          <w:szCs w:val="20"/>
        </w:rPr>
        <w:t xml:space="preserve"> Vztahují se pouze na </w:t>
      </w:r>
      <w:r w:rsidRPr="00306633">
        <w:rPr>
          <w:rFonts w:ascii="Calibri" w:hAnsi="Calibri" w:cs="EUAlbertina"/>
          <w:color w:val="000000"/>
          <w:sz w:val="20"/>
          <w:szCs w:val="20"/>
        </w:rPr>
        <w:t>výrobu chloru a alkalických hydroxidů (chlor, vodík, hydroxid draselný a hydroxid sodný) elektrolýzou solanky.</w:t>
      </w:r>
    </w:p>
  </w:footnote>
  <w:footnote w:id="3">
    <w:p w:rsidR="00C56D9A" w:rsidRPr="00E00BD6" w:rsidRDefault="00C56D9A" w:rsidP="00C56D9A">
      <w:pPr>
        <w:pStyle w:val="Textpoznpodarou"/>
      </w:pPr>
      <w:r w:rsidRPr="00E00BD6">
        <w:rPr>
          <w:rStyle w:val="Znakapoznpodarou"/>
        </w:rPr>
        <w:footnoteRef/>
      </w:r>
      <w:r w:rsidRPr="00E00BD6">
        <w:t xml:space="preserve"> Týká se odpadních vod, </w:t>
      </w:r>
      <w:r w:rsidRPr="00306633">
        <w:rPr>
          <w:rFonts w:eastAsia="Calibri"/>
        </w:rPr>
        <w:t xml:space="preserve">které jsou vypouštěny zařízením provozujícím činnosti, na které se vztahuje kategorie 4 </w:t>
      </w:r>
      <w:r w:rsidRPr="00E00BD6">
        <w:t xml:space="preserve">přílohy č. 1 zákona o integrované prevenci / Přílohy I IED. Rovněž se aplikují na </w:t>
      </w:r>
      <w:r w:rsidRPr="00306633">
        <w:rPr>
          <w:rFonts w:eastAsia="Calibri"/>
        </w:rPr>
        <w:t xml:space="preserve">kombinované čištění odpadních vod z různých zdrojů, pokud největší zatížení znečišťující látkou vzniká z činností, na které se vztahuje kategorie 4 </w:t>
      </w:r>
      <w:r w:rsidRPr="00E00BD6">
        <w:t>přílohy č. 1 zákona o integrované prevenci / Přílohy I IED.</w:t>
      </w:r>
    </w:p>
  </w:footnote>
  <w:footnote w:id="4">
    <w:p w:rsidR="00C56D9A" w:rsidRPr="00F250A3" w:rsidRDefault="00C56D9A" w:rsidP="00C56D9A">
      <w:r w:rsidRPr="00E00BD6">
        <w:rPr>
          <w:rStyle w:val="Znakapoznpodarou"/>
          <w:sz w:val="20"/>
          <w:szCs w:val="20"/>
        </w:rPr>
        <w:footnoteRef/>
      </w:r>
      <w:r w:rsidRPr="00E00BD6">
        <w:rPr>
          <w:sz w:val="20"/>
          <w:szCs w:val="20"/>
        </w:rPr>
        <w:t xml:space="preserve"> Nepřímo se týkají celé kategorie 4 v tom smyslu, že musí být zohledněny ve všech revizích integrovaných povolení, prováděných na základě závěrů o BAT pro některá konkrétní pododvětví kategorie 4 přílohy č. 1 zákona o integrované prevenci / Přílohy I IED. Může se také týkat analogicky i jiných zařízení, pokud obsahují i podmínky k vypouštění odpadních vod z areálu, kde probíhá chemická výroba. Problematika je řešena v samostatném metodickém dokumentu.</w:t>
      </w:r>
    </w:p>
  </w:footnote>
  <w:footnote w:id="5">
    <w:p w:rsidR="00C56D9A" w:rsidRPr="00E00BD6" w:rsidRDefault="00C56D9A" w:rsidP="00C56D9A">
      <w:pPr>
        <w:rPr>
          <w:sz w:val="20"/>
          <w:szCs w:val="20"/>
        </w:rPr>
      </w:pPr>
      <w:r w:rsidRPr="00E00BD6">
        <w:rPr>
          <w:rStyle w:val="Znakapoznpodarou"/>
          <w:sz w:val="20"/>
          <w:szCs w:val="20"/>
        </w:rPr>
        <w:footnoteRef/>
      </w:r>
      <w:r w:rsidRPr="00E00BD6">
        <w:rPr>
          <w:sz w:val="20"/>
          <w:szCs w:val="20"/>
        </w:rPr>
        <w:t xml:space="preserve"> </w:t>
      </w:r>
      <w:r w:rsidRPr="00E00BD6">
        <w:rPr>
          <w:rFonts w:cs="EUAlbertina"/>
          <w:sz w:val="20"/>
          <w:szCs w:val="20"/>
        </w:rPr>
        <w:t>Tyto závěry o BAT se netýkají sléváren uvedených v BREF pro kovářské a slévárenské odvětví (2005). Uvedený BREF neřeší s</w:t>
      </w:r>
      <w:r w:rsidRPr="00306633">
        <w:rPr>
          <w:rFonts w:eastAsia="Calibri"/>
          <w:sz w:val="20"/>
          <w:szCs w:val="20"/>
        </w:rPr>
        <w:t>lévárny kadmia, titanu, vzácných kov</w:t>
      </w:r>
      <w:r w:rsidRPr="00306633">
        <w:rPr>
          <w:rFonts w:eastAsia="Calibri" w:cs="TimesNewRoman"/>
          <w:sz w:val="20"/>
          <w:szCs w:val="20"/>
        </w:rPr>
        <w:t>ů</w:t>
      </w:r>
      <w:r w:rsidRPr="00306633">
        <w:rPr>
          <w:rFonts w:eastAsia="Calibri"/>
          <w:sz w:val="20"/>
          <w:szCs w:val="20"/>
        </w:rPr>
        <w:t xml:space="preserve"> a kontinuální lití (ty</w:t>
      </w:r>
      <w:r w:rsidRPr="00306633">
        <w:rPr>
          <w:rFonts w:eastAsia="Calibri" w:cs="TimesNewRoman"/>
          <w:sz w:val="20"/>
          <w:szCs w:val="20"/>
        </w:rPr>
        <w:t>č</w:t>
      </w:r>
      <w:r w:rsidRPr="00306633">
        <w:rPr>
          <w:rFonts w:eastAsia="Calibri"/>
          <w:sz w:val="20"/>
          <w:szCs w:val="20"/>
        </w:rPr>
        <w:t xml:space="preserve">í a desek) – všechny tyto typy výrob spadají pod závěry o BAT </w:t>
      </w:r>
      <w:r w:rsidRPr="00E00BD6">
        <w:rPr>
          <w:sz w:val="20"/>
          <w:szCs w:val="20"/>
        </w:rPr>
        <w:t>pro odvětví neželezných kovů</w:t>
      </w:r>
      <w:r w:rsidRPr="00306633">
        <w:rPr>
          <w:rFonts w:eastAsia="Calibri"/>
          <w:sz w:val="20"/>
          <w:szCs w:val="20"/>
        </w:rPr>
        <w:t>. P</w:t>
      </w:r>
      <w:r w:rsidRPr="00306633">
        <w:rPr>
          <w:rFonts w:eastAsia="Calibri" w:cs="TimesNewRoman"/>
          <w:sz w:val="20"/>
          <w:szCs w:val="20"/>
        </w:rPr>
        <w:t>ř</w:t>
      </w:r>
      <w:r w:rsidRPr="00306633">
        <w:rPr>
          <w:rFonts w:eastAsia="Calibri"/>
          <w:sz w:val="20"/>
          <w:szCs w:val="20"/>
        </w:rPr>
        <w:t>i zahrnutí procesů týkajících se neželezných kov</w:t>
      </w:r>
      <w:r w:rsidRPr="00306633">
        <w:rPr>
          <w:rFonts w:eastAsia="Calibri" w:cs="TimesNewRoman"/>
          <w:sz w:val="20"/>
          <w:szCs w:val="20"/>
        </w:rPr>
        <w:t xml:space="preserve">ů </w:t>
      </w:r>
      <w:r w:rsidRPr="00306633">
        <w:rPr>
          <w:rFonts w:eastAsia="Calibri"/>
          <w:sz w:val="20"/>
          <w:szCs w:val="20"/>
        </w:rPr>
        <w:t xml:space="preserve">do BREF </w:t>
      </w:r>
      <w:r w:rsidRPr="00E00BD6">
        <w:rPr>
          <w:rFonts w:cs="EUAlbertina"/>
          <w:sz w:val="20"/>
          <w:szCs w:val="20"/>
        </w:rPr>
        <w:t>pro kovářské a slévárenské odvětví (2005) s</w:t>
      </w:r>
      <w:r w:rsidRPr="00306633">
        <w:rPr>
          <w:rFonts w:eastAsia="Calibri"/>
          <w:sz w:val="20"/>
          <w:szCs w:val="20"/>
        </w:rPr>
        <w:t>e za za</w:t>
      </w:r>
      <w:r w:rsidRPr="00306633">
        <w:rPr>
          <w:rFonts w:eastAsia="Calibri" w:cs="TimesNewRoman"/>
          <w:sz w:val="20"/>
          <w:szCs w:val="20"/>
        </w:rPr>
        <w:t>č</w:t>
      </w:r>
      <w:r w:rsidRPr="00306633">
        <w:rPr>
          <w:rFonts w:eastAsia="Calibri"/>
          <w:sz w:val="20"/>
          <w:szCs w:val="20"/>
        </w:rPr>
        <w:t>átek postupu považuje tavení ingot</w:t>
      </w:r>
      <w:r w:rsidRPr="00306633">
        <w:rPr>
          <w:rFonts w:eastAsia="Calibri" w:cs="TimesNewRoman"/>
          <w:sz w:val="20"/>
          <w:szCs w:val="20"/>
        </w:rPr>
        <w:t xml:space="preserve">ů </w:t>
      </w:r>
      <w:r w:rsidRPr="00306633">
        <w:rPr>
          <w:rFonts w:eastAsia="Calibri"/>
          <w:sz w:val="20"/>
          <w:szCs w:val="20"/>
        </w:rPr>
        <w:t>a šrotu, nebo dodání tekutého kovu z jiného provozu.</w:t>
      </w:r>
    </w:p>
  </w:footnote>
  <w:footnote w:id="6">
    <w:p w:rsidR="00C56D9A" w:rsidRDefault="00C56D9A" w:rsidP="00C56D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677F">
        <w:t>Tyto závěry o</w:t>
      </w:r>
      <w:r>
        <w:t xml:space="preserve"> BAT se vztahují na výrobu </w:t>
      </w:r>
      <w:r w:rsidRPr="0071677F">
        <w:t>uvedených chemických látek v kontinuálních procesech, kdy celková výrobní kapacita u těchto chemických látek převyšuje 20 k</w:t>
      </w:r>
      <w:r>
        <w:t xml:space="preserve">t za rok. </w:t>
      </w:r>
      <w:r w:rsidRPr="0071677F">
        <w:t>Tyto závěry o BAT se vztahují na spalování paliv v</w:t>
      </w:r>
      <w:r>
        <w:t> </w:t>
      </w:r>
      <w:r w:rsidRPr="0071677F">
        <w:t>procesních pecích/vařácích, je-li součástí výše uvedených činností.</w:t>
      </w:r>
    </w:p>
  </w:footnote>
  <w:footnote w:id="7">
    <w:p w:rsidR="00C56D9A" w:rsidRDefault="00C56D9A" w:rsidP="00C56D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D102E">
        <w:t xml:space="preserve">Tyto závěry o BAT se </w:t>
      </w:r>
      <w:r>
        <w:t>r</w:t>
      </w:r>
      <w:r w:rsidRPr="007D102E">
        <w:t>ovněž týkají výroby peroxidu vodíku podle bodu 4.2 písm. e) přílohy I směrnice 2010/75/EU.</w:t>
      </w:r>
    </w:p>
  </w:footnote>
  <w:footnote w:id="8">
    <w:p w:rsidR="00C56D9A" w:rsidRPr="00F250A3" w:rsidRDefault="00C56D9A" w:rsidP="00C56D9A">
      <w:pPr>
        <w:pStyle w:val="Textpoznpodarou"/>
      </w:pPr>
      <w:r w:rsidRPr="00F250A3">
        <w:rPr>
          <w:rStyle w:val="Znakapoznpodarou"/>
        </w:rPr>
        <w:footnoteRef/>
      </w:r>
      <w:r w:rsidRPr="00F250A3">
        <w:t xml:space="preserve"> Uváděny pouze kategorie, pro které existují na území České republiky zařízení.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multilevel"/>
    <w:tmpl w:val="41C2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05D1"/>
    <w:multiLevelType w:val="multilevel"/>
    <w:tmpl w:val="B20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85F0C"/>
    <w:multiLevelType w:val="multilevel"/>
    <w:tmpl w:val="341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C65EC"/>
    <w:multiLevelType w:val="multilevel"/>
    <w:tmpl w:val="C25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21A2D"/>
    <w:multiLevelType w:val="multilevel"/>
    <w:tmpl w:val="A99A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02AE7"/>
    <w:multiLevelType w:val="multilevel"/>
    <w:tmpl w:val="3CA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66447"/>
    <w:multiLevelType w:val="multilevel"/>
    <w:tmpl w:val="7A2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D06CA"/>
    <w:multiLevelType w:val="multilevel"/>
    <w:tmpl w:val="212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F5B30"/>
    <w:multiLevelType w:val="multilevel"/>
    <w:tmpl w:val="F684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C210A"/>
    <w:multiLevelType w:val="multilevel"/>
    <w:tmpl w:val="4E98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E2A25"/>
    <w:multiLevelType w:val="multilevel"/>
    <w:tmpl w:val="343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E34B8"/>
    <w:multiLevelType w:val="multilevel"/>
    <w:tmpl w:val="6B4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91261"/>
    <w:multiLevelType w:val="multilevel"/>
    <w:tmpl w:val="AC5E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C6A33"/>
    <w:multiLevelType w:val="multilevel"/>
    <w:tmpl w:val="F98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EF"/>
    <w:rsid w:val="000F496E"/>
    <w:rsid w:val="00107063"/>
    <w:rsid w:val="00143E3F"/>
    <w:rsid w:val="00170AC1"/>
    <w:rsid w:val="001D7663"/>
    <w:rsid w:val="00220236"/>
    <w:rsid w:val="00240DB8"/>
    <w:rsid w:val="003F0342"/>
    <w:rsid w:val="00633B59"/>
    <w:rsid w:val="006D7241"/>
    <w:rsid w:val="00774F87"/>
    <w:rsid w:val="008E66EF"/>
    <w:rsid w:val="00BA2D31"/>
    <w:rsid w:val="00BA3995"/>
    <w:rsid w:val="00C56D9A"/>
    <w:rsid w:val="00C57EC4"/>
    <w:rsid w:val="00D15B65"/>
    <w:rsid w:val="00D30FEF"/>
    <w:rsid w:val="00D61F29"/>
    <w:rsid w:val="00DD0367"/>
    <w:rsid w:val="00DD497B"/>
    <w:rsid w:val="00E6546B"/>
    <w:rsid w:val="00FB62F7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269B7-0AF2-4748-96D8-359A548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FEF"/>
    <w:pPr>
      <w:autoSpaceDE w:val="0"/>
      <w:autoSpaceDN w:val="0"/>
      <w:adjustRightInd w:val="0"/>
      <w:spacing w:before="120" w:after="120" w:line="240" w:lineRule="auto"/>
      <w:jc w:val="both"/>
    </w:pPr>
    <w:rPr>
      <w:rFonts w:ascii="Calibri" w:eastAsia="Times New Roman" w:hAnsi="Calibri" w:cs="Arial"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30FEF"/>
    <w:pPr>
      <w:outlineLvl w:val="1"/>
    </w:pPr>
    <w:rPr>
      <w:rFonts w:cs="Calibri,Bol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D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D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30FEF"/>
    <w:rPr>
      <w:rFonts w:ascii="Calibri" w:eastAsia="Times New Roman" w:hAnsi="Calibri" w:cs="Calibri,Bold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D30F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0FEF"/>
    <w:rPr>
      <w:rFonts w:ascii="Calibri" w:eastAsia="Times New Roman" w:hAnsi="Calibri" w:cs="Arial"/>
      <w:color w:val="00000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30FEF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D30FEF"/>
    <w:pPr>
      <w:spacing w:before="0" w:after="0"/>
      <w:jc w:val="left"/>
    </w:pPr>
    <w:rPr>
      <w:rFonts w:ascii="EUAlbertina" w:eastAsia="Calibri" w:hAnsi="EUAlbertina" w:cs="Times New Roman"/>
      <w:color w:val="auto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D9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6D9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56D9A"/>
    <w:rPr>
      <w:rFonts w:ascii="Calibri" w:eastAsia="Times New Roman" w:hAnsi="Calibri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6D9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56D9A"/>
    <w:rPr>
      <w:rFonts w:ascii="Calibri" w:eastAsia="Times New Roman" w:hAnsi="Calibri" w:cs="Arial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D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399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61F2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newsdate">
    <w:name w:val="news_date"/>
    <w:basedOn w:val="Standardnpsmoodstavce"/>
    <w:rsid w:val="00D6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ippc/zavery-o-bat--224367/" TargetMode="External"/><Relationship Id="rId13" Type="http://schemas.openxmlformats.org/officeDocument/2006/relationships/hyperlink" Target="https://www.mpo.cz/assets/cz/prumysl/prumysl-a-zivotni-prostredi/ippc-integrovana-prevence-a-omezovani-znecisteni/referencni-dokumenty-bref/2017/1/2013_732_EU_2.pdf" TargetMode="External"/><Relationship Id="rId18" Type="http://schemas.openxmlformats.org/officeDocument/2006/relationships/hyperlink" Target="http://www.mzp.cz/www/ippc4.nsf/xsp/.ibmmodres/domino/OpenAttachment/www/ippc4.nsf/E72963AFFAD49CE1C1257C07004C5124/files/oprava%20rozhodnuti%20Komise%202014_738_EU.pdf" TargetMode="External"/><Relationship Id="rId26" Type="http://schemas.openxmlformats.org/officeDocument/2006/relationships/hyperlink" Target="https://eur-lex.europa.eu/legal-content/CS/TXT/?uri=uriserv:OJ.L_.2018.298.01.0083.01.CES&amp;toc=OJ:L:2018:298:T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po.cz/assets/cz/prumysl/prumysl-a-zivotni-prostredi/ippc-integrovana-prevence-a-omezovani-znecisteni/referencni-dokumenty-bref/2017/1/2016_1032_EU_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po.cz/assets/cz/prumysl/prumysl-a-zivotni-prostredi/ippc-integrovana-prevence-a-omezovani-znecisteni/referencni-dokumenty-bref/2017/1/2013_163_EU.pdf" TargetMode="External"/><Relationship Id="rId17" Type="http://schemas.openxmlformats.org/officeDocument/2006/relationships/hyperlink" Target="https://www.mpo.cz/assets/cz/prumysl/prumysl-a-zivotni-prostredi/ippc-integrovana-prevence-a-omezovani-znecisteni/referencni-dokumenty-bref/2017/1/2014_738_EU_1.pdf" TargetMode="External"/><Relationship Id="rId25" Type="http://schemas.openxmlformats.org/officeDocument/2006/relationships/hyperlink" Target="https://eur-lex.europa.eu/legal-content/CS/TXT/?uri=uriserv:OJ.L_.2018.298.01.0083.01.CES&amp;toc=OJ:L:2018:298:T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CS/TXT/PDF/?uri=CELEX:32014D0687R(03)&amp;from=CS" TargetMode="External"/><Relationship Id="rId20" Type="http://schemas.openxmlformats.org/officeDocument/2006/relationships/hyperlink" Target="https://www.mpo.cz/assets/cz/prumysl/prumysl-a-zivotni-prostredi/ippc-integrovana-prevence-a-omezovani-znecisteni/referencni-dokumenty-bref/2017/1/2016_902_EU_1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assets/cz/prumysl/prumysl-a-zivotni-prostredi/ippc-integrovana-prevence-a-omezovani-znecisteni/referencni-dokumenty-bref/2017/1/2013_84_EU.pdf" TargetMode="External"/><Relationship Id="rId24" Type="http://schemas.openxmlformats.org/officeDocument/2006/relationships/hyperlink" Target="https://www.mpo.cz/assets/cz/prumysl/ippc-integrovana-prevence-a-omezovani-znecisteni/referencni-dokumenty-bref/2017/12/Zavery-o-BAT-LVOC_2017_21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p.cz/www/ippc4.nsf/xsp/.ibmmodres/domino/OpenAttachment/www/ippc4.nsf/E72963AFFAD49CE1C1257C07004C5124/files/oprava%20rozhodnuti%20Komise%202014_687_EU.pdf" TargetMode="External"/><Relationship Id="rId23" Type="http://schemas.openxmlformats.org/officeDocument/2006/relationships/hyperlink" Target="https://www.mpo.cz/assets/cz/prumysl/ippc-integrovana-prevence-a-omezovani-znecisteni/referencni-dokumenty-bref/2017/8/2017-1442_LCP-BAT-Cs.pdf" TargetMode="External"/><Relationship Id="rId28" Type="http://schemas.openxmlformats.org/officeDocument/2006/relationships/hyperlink" Target="http://www.mzp.cz/ippc" TargetMode="External"/><Relationship Id="rId10" Type="http://schemas.openxmlformats.org/officeDocument/2006/relationships/hyperlink" Target="https://www.mpo.cz/assets/cz/prumysl/prumysl-a-zivotni-prostredi/ippc-integrovana-prevence-a-omezovani-znecisteni/referencni-dokumenty-bref/2017/1/2012_135_EU_1.pdf" TargetMode="External"/><Relationship Id="rId19" Type="http://schemas.openxmlformats.org/officeDocument/2006/relationships/hyperlink" Target="https://www.mpo.cz/assets/cz/prumysl/prumysl-a-zivotni-prostredi/ippc-integrovana-prevence-a-omezovani-znecisteni/referencni-dokumenty-bref/2017/1/2015_2119_EU_1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po.cz/assets/cz/prumysl/prumysl-a-zivotni-prostredi/ippc-integrovana-prevence-a-omezovani-znecisteni/referencni-dokumenty-bref/2017/1/2012_134_EU_1.pdf" TargetMode="External"/><Relationship Id="rId14" Type="http://schemas.openxmlformats.org/officeDocument/2006/relationships/hyperlink" Target="https://www.mpo.cz/assets/cz/prumysl/prumysl-a-zivotni-prostredi/ippc-integrovana-prevence-a-omezovani-znecisteni/referencni-dokumenty-bref/2017/1/2014_687_EU.pdf" TargetMode="External"/><Relationship Id="rId22" Type="http://schemas.openxmlformats.org/officeDocument/2006/relationships/hyperlink" Target="https://www.mpo.cz/assets/cz/prumysl/ippc-integrovana-prevence-a-omezovani-znecisteni/referencni-dokumenty-bref/2017/3/ZavBAT_IRPP.pdf" TargetMode="External"/><Relationship Id="rId27" Type="http://schemas.openxmlformats.org/officeDocument/2006/relationships/hyperlink" Target="https://www.mpo.cz/assets/cz/prumysl/ippc-integrovana-prevence-a-omezovani-znecisteni/referencni-dokumenty-bref/2018/9/Zavery-o-BAT-pro-zpracovani-odpadu_1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CBAB-03D2-4978-8868-82792FF7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2418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Kroupa Antonín</dc:creator>
  <cp:keywords/>
  <dc:description/>
  <cp:lastModifiedBy>Kroupa Antonín</cp:lastModifiedBy>
  <cp:revision>2</cp:revision>
  <dcterms:created xsi:type="dcterms:W3CDTF">2019-06-11T06:28:00Z</dcterms:created>
  <dcterms:modified xsi:type="dcterms:W3CDTF">2019-06-11T06:28:00Z</dcterms:modified>
</cp:coreProperties>
</file>