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2C3" w:rsidRPr="008F2542" w:rsidRDefault="008F2542">
      <w:pPr>
        <w:rPr>
          <w:rFonts w:ascii="Times New Roman" w:hAnsi="Times New Roman" w:cs="Times New Roman"/>
          <w:b/>
          <w:sz w:val="28"/>
          <w:szCs w:val="28"/>
        </w:rPr>
      </w:pPr>
      <w:r w:rsidRPr="008F2542">
        <w:rPr>
          <w:rFonts w:ascii="Times New Roman" w:hAnsi="Times New Roman" w:cs="Times New Roman"/>
          <w:b/>
          <w:sz w:val="28"/>
          <w:szCs w:val="28"/>
        </w:rPr>
        <w:t>Pracovní tabulky</w:t>
      </w:r>
      <w:r w:rsidR="001D65D0">
        <w:rPr>
          <w:rFonts w:ascii="Times New Roman" w:hAnsi="Times New Roman" w:cs="Times New Roman"/>
          <w:b/>
          <w:sz w:val="28"/>
          <w:szCs w:val="28"/>
        </w:rPr>
        <w:t xml:space="preserve"> pro klasifikaci</w:t>
      </w:r>
    </w:p>
    <w:p w:rsidR="008F2542" w:rsidRDefault="008F2542">
      <w:pPr>
        <w:rPr>
          <w:rFonts w:ascii="Times New Roman" w:hAnsi="Times New Roman" w:cs="Times New Roman"/>
          <w:sz w:val="24"/>
          <w:szCs w:val="24"/>
        </w:rPr>
      </w:pPr>
    </w:p>
    <w:p w:rsidR="008F2542" w:rsidRDefault="008F254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>kutní toxicita</w:t>
      </w:r>
    </w:p>
    <w:p w:rsidR="00E308E2" w:rsidRPr="007E6207" w:rsidRDefault="00E308E2" w:rsidP="00E308E2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7E6207">
        <w:rPr>
          <w:rFonts w:ascii="Times New Roman" w:hAnsi="Times New Roman" w:cs="Times New Roman"/>
          <w:sz w:val="24"/>
          <w:szCs w:val="24"/>
          <w:u w:val="single"/>
        </w:rPr>
        <w:t>Několik důležitých připomínek:</w:t>
      </w:r>
    </w:p>
    <w:p w:rsidR="00E308E2" w:rsidRPr="00E308E2" w:rsidRDefault="00E308E2" w:rsidP="00E308E2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E308E2">
        <w:rPr>
          <w:rFonts w:ascii="Times New Roman" w:hAnsi="Times New Roman" w:cs="Times New Roman"/>
          <w:sz w:val="24"/>
          <w:szCs w:val="24"/>
        </w:rPr>
        <w:t>Aditivita</w:t>
      </w:r>
      <w:proofErr w:type="spellEnd"/>
      <w:r w:rsidRPr="00E308E2">
        <w:rPr>
          <w:rFonts w:ascii="Times New Roman" w:hAnsi="Times New Roman" w:cs="Times New Roman"/>
          <w:sz w:val="24"/>
          <w:szCs w:val="24"/>
        </w:rPr>
        <w:t xml:space="preserve"> u akutní toxicity se hodnotí podle každé cesty expozice.</w:t>
      </w:r>
    </w:p>
    <w:p w:rsidR="00E308E2" w:rsidRPr="00E308E2" w:rsidRDefault="00E308E2" w:rsidP="00E308E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308E2">
        <w:rPr>
          <w:rFonts w:ascii="Times New Roman" w:hAnsi="Times New Roman" w:cs="Times New Roman"/>
          <w:sz w:val="24"/>
          <w:szCs w:val="24"/>
        </w:rPr>
        <w:t>Do výpočtového vzorce je možné kombinovat hodnoty LD(LC)50 a hodnoty ATE.</w:t>
      </w:r>
    </w:p>
    <w:p w:rsidR="00E308E2" w:rsidRDefault="00E308E2" w:rsidP="00E308E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Pokud máte hodnotu </w:t>
      </w:r>
      <w:r w:rsidRPr="00E308E2">
        <w:rPr>
          <w:rFonts w:ascii="Times New Roman" w:hAnsi="Times New Roman" w:cs="Times New Roman"/>
          <w:sz w:val="24"/>
          <w:szCs w:val="24"/>
        </w:rPr>
        <w:t>LD(LC)50</w:t>
      </w:r>
      <w:r>
        <w:rPr>
          <w:rFonts w:ascii="Times New Roman" w:hAnsi="Times New Roman" w:cs="Times New Roman"/>
          <w:sz w:val="24"/>
          <w:szCs w:val="24"/>
        </w:rPr>
        <w:t xml:space="preserve"> v podobě </w:t>
      </w:r>
      <w:r w:rsidR="007E6207">
        <w:rPr>
          <w:rFonts w:ascii="Times New Roman" w:hAnsi="Times New Roman" w:cs="Times New Roman"/>
          <w:sz w:val="24"/>
          <w:szCs w:val="24"/>
        </w:rPr>
        <w:t>rozmezí použijte odpovídající hodnotu ATE.</w:t>
      </w:r>
    </w:p>
    <w:p w:rsidR="007E6207" w:rsidRPr="00E308E2" w:rsidRDefault="007E6207" w:rsidP="00E308E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výpočtu se nezahrnují složky, které nejsou akutně toxické.</w:t>
      </w:r>
    </w:p>
    <w:p w:rsidR="00E308E2" w:rsidRPr="00E308E2" w:rsidRDefault="00E308E2" w:rsidP="00E308E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Zařazení látek do kategorií toxicity v rámci třídy akutní toxicita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372" w:type="dxa"/>
        <w:tblLook w:val="04A0"/>
      </w:tblPr>
      <w:tblGrid>
        <w:gridCol w:w="2093"/>
        <w:gridCol w:w="1591"/>
        <w:gridCol w:w="1842"/>
        <w:gridCol w:w="1843"/>
        <w:gridCol w:w="2003"/>
      </w:tblGrid>
      <w:tr w:rsidR="008F2542" w:rsidRPr="00474CF8" w:rsidTr="005E01E6">
        <w:tc>
          <w:tcPr>
            <w:tcW w:w="9372" w:type="dxa"/>
            <w:gridSpan w:val="5"/>
          </w:tcPr>
          <w:p w:rsidR="008F2542" w:rsidRPr="00474CF8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4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Podle hodnot LD50 nebo LC50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Cesta expozice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Kategorie 1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Kategorie 2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Kategorie 3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Kategorie 4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Orální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LD50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LD50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LD50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LD50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Dermální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LD50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LD50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LD50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LD50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plyny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500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2500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20000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páry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0,5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2,0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10,0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10,0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20,0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prach a mlha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0,05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0,5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LC50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5,0</w:t>
            </w:r>
          </w:p>
        </w:tc>
      </w:tr>
      <w:tr w:rsidR="008F2542" w:rsidRPr="000B4D15" w:rsidTr="005E01E6">
        <w:trPr>
          <w:trHeight w:val="116"/>
        </w:trPr>
        <w:tc>
          <w:tcPr>
            <w:tcW w:w="9372" w:type="dxa"/>
            <w:gridSpan w:val="5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542" w:rsidRPr="000B4D15" w:rsidTr="005E01E6">
        <w:tc>
          <w:tcPr>
            <w:tcW w:w="9372" w:type="dxa"/>
            <w:gridSpan w:val="5"/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Orální                               mg/kg tělesné hmotnosti</w:t>
            </w:r>
          </w:p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Dermální                          mg/kg tělesné hmotnosti</w:t>
            </w:r>
          </w:p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Inhalační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plyny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ppm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</w:p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Inhalační páry                  mg/l </w:t>
            </w:r>
          </w:p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prach a mlha   mg/l</w:t>
            </w:r>
          </w:p>
        </w:tc>
      </w:tr>
    </w:tbl>
    <w:p w:rsidR="008F2542" w:rsidRPr="000B4D15" w:rsidRDefault="008F2542" w:rsidP="008F2542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372" w:type="dxa"/>
        <w:tblLook w:val="04A0"/>
      </w:tblPr>
      <w:tblGrid>
        <w:gridCol w:w="2093"/>
        <w:gridCol w:w="1591"/>
        <w:gridCol w:w="1842"/>
        <w:gridCol w:w="1843"/>
        <w:gridCol w:w="2003"/>
      </w:tblGrid>
      <w:tr w:rsidR="008F2542" w:rsidRPr="00474CF8" w:rsidTr="005E01E6">
        <w:tc>
          <w:tcPr>
            <w:tcW w:w="9372" w:type="dxa"/>
            <w:gridSpan w:val="5"/>
          </w:tcPr>
          <w:p w:rsidR="008F2542" w:rsidRPr="00474CF8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4C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Podle hodnot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Cesta expozice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Kategorie 1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Kategorie 2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Kategorie 3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4D15">
              <w:rPr>
                <w:rFonts w:ascii="Times New Roman" w:hAnsi="Times New Roman" w:cs="Times New Roman"/>
                <w:b/>
                <w:sz w:val="20"/>
                <w:szCs w:val="20"/>
              </w:rPr>
              <w:t>Kategorie 4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Orální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Dermální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plyny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500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2500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20000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páry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0,5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2,0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10,0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10,0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20,0</w:t>
            </w:r>
          </w:p>
        </w:tc>
      </w:tr>
      <w:tr w:rsidR="008F2542" w:rsidRPr="000B4D15" w:rsidTr="005E01E6">
        <w:tc>
          <w:tcPr>
            <w:tcW w:w="2093" w:type="dxa"/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prach a mlha</w:t>
            </w:r>
          </w:p>
        </w:tc>
        <w:tc>
          <w:tcPr>
            <w:tcW w:w="1591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0,05</w:t>
            </w:r>
          </w:p>
        </w:tc>
        <w:tc>
          <w:tcPr>
            <w:tcW w:w="1842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0,5</w:t>
            </w:r>
          </w:p>
        </w:tc>
        <w:tc>
          <w:tcPr>
            <w:tcW w:w="184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1,0</w:t>
            </w:r>
          </w:p>
        </w:tc>
        <w:tc>
          <w:tcPr>
            <w:tcW w:w="2003" w:type="dxa"/>
          </w:tcPr>
          <w:p w:rsidR="008F2542" w:rsidRPr="000B4D15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3C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A3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5,0</w:t>
            </w:r>
          </w:p>
        </w:tc>
      </w:tr>
      <w:tr w:rsidR="008F2542" w:rsidRPr="000B4D15" w:rsidTr="005E01E6">
        <w:trPr>
          <w:trHeight w:val="116"/>
        </w:trPr>
        <w:tc>
          <w:tcPr>
            <w:tcW w:w="9372" w:type="dxa"/>
            <w:gridSpan w:val="5"/>
          </w:tcPr>
          <w:p w:rsidR="008F2542" w:rsidRPr="000B4D15" w:rsidRDefault="008F2542" w:rsidP="007E6207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542" w:rsidRPr="000B4D15" w:rsidTr="005E01E6">
        <w:tc>
          <w:tcPr>
            <w:tcW w:w="9372" w:type="dxa"/>
            <w:gridSpan w:val="5"/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Orální                               mg/kg tělesné hmotnosti</w:t>
            </w:r>
          </w:p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Dermální                          mg/kg tělesné hmotnosti</w:t>
            </w:r>
          </w:p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Inhalační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plyny       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ppm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</w:p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Inhalační páry                  mg/l </w:t>
            </w:r>
          </w:p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prach a mlha   mg/l</w:t>
            </w:r>
          </w:p>
        </w:tc>
      </w:tr>
    </w:tbl>
    <w:p w:rsidR="008F2542" w:rsidRDefault="008F2542">
      <w:pPr>
        <w:rPr>
          <w:rFonts w:ascii="Times New Roman" w:hAnsi="Times New Roman" w:cs="Times New Roman"/>
          <w:sz w:val="24"/>
          <w:szCs w:val="24"/>
        </w:rPr>
      </w:pPr>
    </w:p>
    <w:p w:rsidR="008F2542" w:rsidRDefault="007E6207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1713230</wp:posOffset>
            </wp:positionH>
            <wp:positionV relativeFrom="margin">
              <wp:posOffset>7002145</wp:posOffset>
            </wp:positionV>
            <wp:extent cx="1774190" cy="647700"/>
            <wp:effectExtent l="0" t="0" r="0" b="0"/>
            <wp:wrapSquare wrapText="bothSides"/>
            <wp:docPr id="6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1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2542">
        <w:rPr>
          <w:rFonts w:ascii="Times New Roman" w:hAnsi="Times New Roman" w:cs="Times New Roman"/>
          <w:color w:val="000000"/>
          <w:sz w:val="24"/>
          <w:szCs w:val="24"/>
        </w:rPr>
        <w:t>Klasifikace podle vzorce: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Vzorec 1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42" w:rsidRPr="00315249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Kde: </w:t>
      </w:r>
      <w:proofErr w:type="spellStart"/>
      <w:proofErr w:type="gram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Ci</w:t>
      </w:r>
      <w:proofErr w:type="spellEnd"/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      = koncentrace</w:t>
      </w:r>
      <w:proofErr w:type="gramEnd"/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i-té složky (% hm nebo % </w:t>
      </w:r>
      <w:proofErr w:type="spell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obj</w:t>
      </w:r>
      <w:proofErr w:type="spellEnd"/>
      <w:r w:rsidRPr="00315249"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8F2542" w:rsidRPr="00315249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gram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i        = jednotlivá</w:t>
      </w:r>
      <w:proofErr w:type="gramEnd"/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složka od 1 do n</w:t>
      </w:r>
    </w:p>
    <w:p w:rsidR="008F2542" w:rsidRPr="00315249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gram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n       = počet</w:t>
      </w:r>
      <w:proofErr w:type="gramEnd"/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složek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spell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ATE</w:t>
      </w:r>
      <w:r w:rsidRPr="0031524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mix</w:t>
      </w:r>
      <w:proofErr w:type="spellEnd"/>
      <w:r w:rsidRPr="0031524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= odhad akutní toxicity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 směs</w:t>
      </w:r>
    </w:p>
    <w:p w:rsidR="007E6207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spell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31524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= odhad akutní toxicity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 danou složku</w:t>
      </w:r>
    </w:p>
    <w:p w:rsidR="008F2542" w:rsidRPr="001E6F8B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F8B">
        <w:rPr>
          <w:rFonts w:ascii="Times New Roman" w:hAnsi="Times New Roman" w:cs="Times New Roman"/>
          <w:color w:val="000000"/>
          <w:sz w:val="24"/>
          <w:szCs w:val="24"/>
        </w:rPr>
        <w:lastRenderedPageBreak/>
        <w:t>Je-li celková koncentrace složek s neznámou toxicitou &gt; 10% použije se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42" w:rsidRDefault="007E6207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908050</wp:posOffset>
            </wp:positionH>
            <wp:positionV relativeFrom="margin">
              <wp:posOffset>450850</wp:posOffset>
            </wp:positionV>
            <wp:extent cx="3693795" cy="750570"/>
            <wp:effectExtent l="0" t="0" r="1905" b="0"/>
            <wp:wrapSquare wrapText="bothSides"/>
            <wp:docPr id="9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3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5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Vzorec</w:t>
      </w:r>
      <w:r w:rsidR="001D65D0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42" w:rsidRPr="00315249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Kde: </w:t>
      </w:r>
      <w:proofErr w:type="spellStart"/>
      <w:proofErr w:type="gram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Ci</w:t>
      </w:r>
      <w:proofErr w:type="spellEnd"/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      = koncentrace</w:t>
      </w:r>
      <w:proofErr w:type="gramEnd"/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i-té složky (% hm nebo % </w:t>
      </w:r>
      <w:proofErr w:type="spell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obj</w:t>
      </w:r>
      <w:proofErr w:type="spellEnd"/>
      <w:r w:rsidRPr="00315249"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8F2542" w:rsidRPr="00315249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gram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i        = jednotlivá</w:t>
      </w:r>
      <w:proofErr w:type="gramEnd"/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složka od 1 do n</w:t>
      </w:r>
    </w:p>
    <w:p w:rsidR="008F2542" w:rsidRPr="00315249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gram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n       = počet</w:t>
      </w:r>
      <w:proofErr w:type="gramEnd"/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složek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spell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ATE</w:t>
      </w:r>
      <w:r w:rsidRPr="0031524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mix</w:t>
      </w:r>
      <w:proofErr w:type="spellEnd"/>
      <w:r w:rsidRPr="0031524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= odhad akutní toxicity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 směs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proofErr w:type="spellStart"/>
      <w:r w:rsidRPr="00315249">
        <w:rPr>
          <w:rFonts w:ascii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315249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 xml:space="preserve"> </w:t>
      </w:r>
      <w:r w:rsidRPr="00315249">
        <w:rPr>
          <w:rFonts w:ascii="Times New Roman" w:hAnsi="Times New Roman" w:cs="Times New Roman"/>
          <w:color w:val="000000"/>
          <w:sz w:val="24"/>
          <w:szCs w:val="24"/>
        </w:rPr>
        <w:t xml:space="preserve"> = odhad akutní toxicity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 danou složku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Hodnotu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ATEi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odvodíme z následující tabulky podle kategorie toxicity:</w:t>
      </w:r>
    </w:p>
    <w:p w:rsidR="008F2542" w:rsidRDefault="008F2542" w:rsidP="008F2542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2376"/>
        <w:gridCol w:w="1134"/>
        <w:gridCol w:w="3119"/>
        <w:gridCol w:w="2583"/>
      </w:tblGrid>
      <w:tr w:rsidR="008F2542" w:rsidRPr="00BF1B2A" w:rsidTr="005E01E6">
        <w:tc>
          <w:tcPr>
            <w:tcW w:w="3510" w:type="dxa"/>
            <w:gridSpan w:val="2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b/>
                <w:sz w:val="20"/>
                <w:szCs w:val="20"/>
              </w:rPr>
              <w:t>Cesta expozice</w:t>
            </w: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Klasifikační kategorie toxicity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Přepočtený bodový odhad akutní toxicity</w:t>
            </w:r>
          </w:p>
        </w:tc>
      </w:tr>
      <w:tr w:rsidR="008F2542" w:rsidTr="005E01E6">
        <w:trPr>
          <w:trHeight w:val="69"/>
        </w:trPr>
        <w:tc>
          <w:tcPr>
            <w:tcW w:w="2376" w:type="dxa"/>
            <w:vMerge w:val="restart"/>
            <w:tcBorders>
              <w:righ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Orální</w:t>
            </w: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mg/kg</w:t>
            </w: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kategorie 1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</w:tr>
      <w:tr w:rsidR="008F2542" w:rsidTr="005E01E6">
        <w:trPr>
          <w:trHeight w:val="69"/>
        </w:trPr>
        <w:tc>
          <w:tcPr>
            <w:tcW w:w="9212" w:type="dxa"/>
            <w:gridSpan w:val="4"/>
            <w:shd w:val="clear" w:color="auto" w:fill="D9D9D9" w:themeFill="background1" w:themeFillShade="D9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2542" w:rsidTr="005E01E6">
        <w:trPr>
          <w:trHeight w:val="69"/>
        </w:trPr>
        <w:tc>
          <w:tcPr>
            <w:tcW w:w="2376" w:type="dxa"/>
            <w:vMerge w:val="restart"/>
            <w:tcBorders>
              <w:righ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Dermální</w:t>
            </w: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mg/kg</w:t>
            </w: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kategorie 1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1 100</w:t>
            </w:r>
          </w:p>
        </w:tc>
      </w:tr>
      <w:tr w:rsidR="008F2542" w:rsidTr="005E01E6">
        <w:trPr>
          <w:trHeight w:val="69"/>
        </w:trPr>
        <w:tc>
          <w:tcPr>
            <w:tcW w:w="9212" w:type="dxa"/>
            <w:gridSpan w:val="4"/>
            <w:shd w:val="clear" w:color="auto" w:fill="D9D9D9" w:themeFill="background1" w:themeFillShade="D9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2542" w:rsidTr="005E01E6">
        <w:trPr>
          <w:trHeight w:val="69"/>
        </w:trPr>
        <w:tc>
          <w:tcPr>
            <w:tcW w:w="2376" w:type="dxa"/>
            <w:vMerge w:val="restart"/>
            <w:tcBorders>
              <w:righ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plyny</w:t>
            </w: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ppmV</w:t>
            </w:r>
            <w:proofErr w:type="spellEnd"/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kategorie 1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4 500</w:t>
            </w:r>
          </w:p>
        </w:tc>
      </w:tr>
      <w:tr w:rsidR="008F2542" w:rsidTr="005E01E6">
        <w:trPr>
          <w:trHeight w:val="69"/>
        </w:trPr>
        <w:tc>
          <w:tcPr>
            <w:tcW w:w="9212" w:type="dxa"/>
            <w:gridSpan w:val="4"/>
            <w:shd w:val="clear" w:color="auto" w:fill="D9D9D9" w:themeFill="background1" w:themeFillShade="D9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2542" w:rsidTr="005E01E6">
        <w:trPr>
          <w:trHeight w:val="69"/>
        </w:trPr>
        <w:tc>
          <w:tcPr>
            <w:tcW w:w="2376" w:type="dxa"/>
            <w:vMerge w:val="restart"/>
            <w:tcBorders>
              <w:righ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páry</w:t>
            </w: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kategorie 1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8F2542" w:rsidTr="005E01E6">
        <w:trPr>
          <w:trHeight w:val="69"/>
        </w:trPr>
        <w:tc>
          <w:tcPr>
            <w:tcW w:w="9212" w:type="dxa"/>
            <w:gridSpan w:val="4"/>
            <w:shd w:val="clear" w:color="auto" w:fill="D9D9D9" w:themeFill="background1" w:themeFillShade="D9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2542" w:rsidTr="005E01E6">
        <w:trPr>
          <w:trHeight w:val="69"/>
        </w:trPr>
        <w:tc>
          <w:tcPr>
            <w:tcW w:w="2376" w:type="dxa"/>
            <w:vMerge w:val="restart"/>
            <w:tcBorders>
              <w:righ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Inhalační prach a mlha</w:t>
            </w:r>
          </w:p>
        </w:tc>
        <w:tc>
          <w:tcPr>
            <w:tcW w:w="1134" w:type="dxa"/>
            <w:vMerge w:val="restart"/>
            <w:tcBorders>
              <w:left w:val="nil"/>
            </w:tcBorders>
          </w:tcPr>
          <w:p w:rsidR="008F2542" w:rsidRPr="000B4D15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kategorie 1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8F2542" w:rsidTr="005E01E6">
        <w:trPr>
          <w:trHeight w:val="67"/>
        </w:trPr>
        <w:tc>
          <w:tcPr>
            <w:tcW w:w="2376" w:type="dxa"/>
            <w:vMerge/>
            <w:tcBorders>
              <w:righ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</w:tcPr>
          <w:p w:rsidR="008F2542" w:rsidRDefault="008F2542" w:rsidP="005E01E6">
            <w:pPr>
              <w:pStyle w:val="Bezmezer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B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kategorie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83" w:type="dxa"/>
          </w:tcPr>
          <w:p w:rsidR="008F2542" w:rsidRPr="00BF1B2A" w:rsidRDefault="008F2542" w:rsidP="005E01E6">
            <w:pPr>
              <w:pStyle w:val="Bezmezer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</w:tbl>
    <w:p w:rsidR="008F2542" w:rsidRDefault="008F2542">
      <w:pPr>
        <w:rPr>
          <w:rFonts w:ascii="Times New Roman" w:hAnsi="Times New Roman" w:cs="Times New Roman"/>
          <w:sz w:val="24"/>
          <w:szCs w:val="24"/>
        </w:rPr>
      </w:pPr>
    </w:p>
    <w:p w:rsidR="008F2542" w:rsidRDefault="008F2542">
      <w:pPr>
        <w:rPr>
          <w:rFonts w:ascii="Times New Roman" w:hAnsi="Times New Roman" w:cs="Times New Roman"/>
          <w:sz w:val="24"/>
          <w:szCs w:val="24"/>
        </w:rPr>
      </w:pPr>
    </w:p>
    <w:p w:rsidR="008F2542" w:rsidRDefault="008F2542">
      <w:pPr>
        <w:rPr>
          <w:rFonts w:ascii="Times New Roman" w:hAnsi="Times New Roman" w:cs="Times New Roman"/>
          <w:sz w:val="24"/>
          <w:szCs w:val="24"/>
        </w:rPr>
      </w:pPr>
    </w:p>
    <w:p w:rsidR="008F2542" w:rsidRDefault="008F2542">
      <w:pPr>
        <w:rPr>
          <w:rFonts w:ascii="Times New Roman" w:hAnsi="Times New Roman" w:cs="Times New Roman"/>
          <w:sz w:val="24"/>
          <w:szCs w:val="24"/>
        </w:rPr>
      </w:pPr>
    </w:p>
    <w:p w:rsidR="007E6207" w:rsidRDefault="007E620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6207" w:rsidRDefault="007E620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F2542" w:rsidRDefault="008F254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ž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íravost/dráždivost pro </w:t>
      </w:r>
      <w:r w:rsidR="002D5E5A">
        <w:rPr>
          <w:rFonts w:ascii="Times New Roman" w:hAnsi="Times New Roman" w:cs="Times New Roman"/>
          <w:b/>
          <w:sz w:val="24"/>
          <w:szCs w:val="24"/>
          <w:u w:val="single"/>
        </w:rPr>
        <w:t>kůži</w:t>
      </w:r>
    </w:p>
    <w:p w:rsidR="007E6207" w:rsidRDefault="007E6207" w:rsidP="007E620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E6207">
        <w:rPr>
          <w:rFonts w:ascii="Times New Roman" w:hAnsi="Times New Roman" w:cs="Times New Roman"/>
          <w:sz w:val="24"/>
          <w:szCs w:val="24"/>
        </w:rPr>
        <w:t>Několik důležitých připomínek:</w:t>
      </w:r>
    </w:p>
    <w:p w:rsidR="007E6207" w:rsidRDefault="007E6207" w:rsidP="007E620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Je-li pH směsi menší než 2 a větší než 11,5 je obvykle celá směs klasifikována jako žíravá.</w:t>
      </w:r>
    </w:p>
    <w:p w:rsidR="002F2A3A" w:rsidRDefault="002F2A3A" w:rsidP="007E620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Pozor na jinou metodu hodnocení pokud jsou k dispozici specifické limity složek.</w:t>
      </w:r>
    </w:p>
    <w:p w:rsidR="007E6207" w:rsidRDefault="007E6207" w:rsidP="007E620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Je-li ve směsi více než 1 složka s klasifikací žíravý o obsahu 1% je nutné tyto složky zahrnou do posuzování žíravosti/dráždivosti pro kůži.</w:t>
      </w:r>
    </w:p>
    <w:p w:rsidR="007E6207" w:rsidRDefault="007E6207" w:rsidP="007E620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Současně se žíravostí je nutné posoudit i vážné poškození očí.</w:t>
      </w:r>
    </w:p>
    <w:p w:rsidR="007E6207" w:rsidRDefault="007E6207" w:rsidP="007E6207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E6207">
        <w:rPr>
          <w:rFonts w:ascii="Times New Roman" w:hAnsi="Times New Roman" w:cs="Times New Roman"/>
          <w:b/>
          <w:sz w:val="24"/>
          <w:szCs w:val="24"/>
        </w:rPr>
        <w:t xml:space="preserve">Zápis klasifikace při žíravosti je Skin </w:t>
      </w:r>
      <w:proofErr w:type="spellStart"/>
      <w:r w:rsidRPr="007E6207">
        <w:rPr>
          <w:rFonts w:ascii="Times New Roman" w:hAnsi="Times New Roman" w:cs="Times New Roman"/>
          <w:b/>
          <w:sz w:val="24"/>
          <w:szCs w:val="24"/>
        </w:rPr>
        <w:t>Corr</w:t>
      </w:r>
      <w:proofErr w:type="spellEnd"/>
      <w:r w:rsidRPr="007E6207">
        <w:rPr>
          <w:rFonts w:ascii="Times New Roman" w:hAnsi="Times New Roman" w:cs="Times New Roman"/>
          <w:b/>
          <w:sz w:val="24"/>
          <w:szCs w:val="24"/>
        </w:rPr>
        <w:t xml:space="preserve"> 1(příslušné písmeno), H314 a </w:t>
      </w:r>
    </w:p>
    <w:p w:rsidR="007E6207" w:rsidRPr="007E6207" w:rsidRDefault="007E6207" w:rsidP="007E6207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proofErr w:type="spellStart"/>
      <w:r w:rsidRPr="007E6207">
        <w:rPr>
          <w:rFonts w:ascii="Times New Roman" w:hAnsi="Times New Roman" w:cs="Times New Roman"/>
          <w:b/>
          <w:sz w:val="24"/>
          <w:szCs w:val="24"/>
        </w:rPr>
        <w:t>Eye</w:t>
      </w:r>
      <w:proofErr w:type="spellEnd"/>
      <w:r w:rsidRPr="007E6207">
        <w:rPr>
          <w:rFonts w:ascii="Times New Roman" w:hAnsi="Times New Roman" w:cs="Times New Roman"/>
          <w:b/>
          <w:sz w:val="24"/>
          <w:szCs w:val="24"/>
        </w:rPr>
        <w:t xml:space="preserve"> Dam. 1, H318</w:t>
      </w:r>
    </w:p>
    <w:p w:rsidR="007E6207" w:rsidRPr="007E6207" w:rsidRDefault="007E6207" w:rsidP="007E6207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70"/>
        <w:gridCol w:w="2880"/>
        <w:gridCol w:w="2662"/>
      </w:tblGrid>
      <w:tr w:rsidR="008F2542" w:rsidTr="005E01E6">
        <w:trPr>
          <w:cantSplit/>
        </w:trPr>
        <w:tc>
          <w:tcPr>
            <w:tcW w:w="3670" w:type="dxa"/>
            <w:vMerge w:val="restart"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Součet složek klasifikovaných jako</w:t>
            </w:r>
          </w:p>
        </w:tc>
        <w:tc>
          <w:tcPr>
            <w:tcW w:w="5542" w:type="dxa"/>
            <w:gridSpan w:val="2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Koncentrace vedoucí ke klasifikaci směsi jako</w:t>
            </w:r>
          </w:p>
        </w:tc>
      </w:tr>
      <w:tr w:rsidR="008F2542" w:rsidTr="005E01E6">
        <w:trPr>
          <w:cantSplit/>
        </w:trPr>
        <w:tc>
          <w:tcPr>
            <w:tcW w:w="3670" w:type="dxa"/>
            <w:vMerge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žíravé pro kůži</w:t>
            </w: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dráždivé pro kůži</w:t>
            </w:r>
          </w:p>
        </w:tc>
      </w:tr>
      <w:tr w:rsidR="008F2542" w:rsidTr="005E01E6">
        <w:trPr>
          <w:cantSplit/>
        </w:trPr>
        <w:tc>
          <w:tcPr>
            <w:tcW w:w="3670" w:type="dxa"/>
            <w:vMerge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kategorie 1*</w:t>
            </w: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kategorie 2</w:t>
            </w:r>
          </w:p>
        </w:tc>
      </w:tr>
      <w:tr w:rsidR="008F2542" w:rsidTr="005E01E6">
        <w:tc>
          <w:tcPr>
            <w:tcW w:w="3670" w:type="dxa"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žíravé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pro kůži </w:t>
            </w:r>
          </w:p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kategorie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1A, 1B, 1C</w:t>
            </w:r>
            <w:r w:rsidR="003950E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3950E2" w:rsidRPr="003950E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18"/>
              </w:rPr>
              <w:t>nebo kategorie</w:t>
            </w:r>
            <w:r w:rsidR="003950E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 xml:space="preserve"> 1</w:t>
            </w: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B3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5 %</w:t>
            </w: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B3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1% ale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3C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5 %</w:t>
            </w:r>
          </w:p>
        </w:tc>
      </w:tr>
      <w:tr w:rsidR="008F2542" w:rsidTr="005E01E6">
        <w:tc>
          <w:tcPr>
            <w:tcW w:w="3670" w:type="dxa"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dráždivé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pro kůži</w:t>
            </w:r>
          </w:p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kategorie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2</w:t>
            </w: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B3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10 %</w:t>
            </w:r>
          </w:p>
        </w:tc>
      </w:tr>
      <w:tr w:rsidR="008F2542" w:rsidTr="005E01E6">
        <w:tc>
          <w:tcPr>
            <w:tcW w:w="3670" w:type="dxa"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(10 x žíravé pro kůži kategorie 1A, 1B, 1C</w:t>
            </w:r>
            <w:r w:rsidR="003950E2"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</w:t>
            </w:r>
            <w:r w:rsidR="003950E2" w:rsidRPr="003950E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18"/>
              </w:rPr>
              <w:t>nebo kategorie</w:t>
            </w:r>
            <w:r w:rsidR="003950E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3950E2" w:rsidRPr="003950E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) + dráždivé pro kůži kategorie 2</w:t>
            </w: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B3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10 %</w:t>
            </w:r>
          </w:p>
        </w:tc>
      </w:tr>
    </w:tbl>
    <w:p w:rsidR="008F2542" w:rsidRDefault="008F2542" w:rsidP="008F2542">
      <w:pPr>
        <w:pStyle w:val="Bezmezer"/>
        <w:rPr>
          <w:rFonts w:ascii="Times New Roman" w:eastAsia="Calibri" w:hAnsi="Times New Roman" w:cs="Times New Roman"/>
          <w:color w:val="000000"/>
          <w:sz w:val="24"/>
          <w:szCs w:val="18"/>
        </w:rPr>
      </w:pPr>
    </w:p>
    <w:p w:rsidR="008F2542" w:rsidRDefault="008F2542" w:rsidP="008F254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Zařazení do jednotlivých podkategorií:</w:t>
      </w:r>
    </w:p>
    <w:p w:rsidR="008F2542" w:rsidRDefault="008F2542" w:rsidP="008F254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</w:pPr>
      <w:r>
        <w:rPr>
          <w:rFonts w:ascii="Times New Roman" w:eastAsia="Calibri" w:hAnsi="Times New Roman" w:cs="Times New Roman"/>
          <w:color w:val="000000"/>
          <w:sz w:val="24"/>
          <w:szCs w:val="20"/>
        </w:rPr>
        <w:t>Součet všech složek směsí zařazených jako žíravých pro kůži do jednotlivých kategorií 1A, 1B</w:t>
      </w:r>
      <w:r w:rsidR="003950E2"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, 1C </w:t>
      </w:r>
      <w:r>
        <w:rPr>
          <w:rFonts w:ascii="Times New Roman" w:eastAsia="Calibri" w:hAnsi="Times New Roman" w:cs="Times New Roman"/>
          <w:b/>
          <w:bCs/>
          <w:sz w:val="24"/>
          <w:szCs w:val="20"/>
        </w:rPr>
        <w:t xml:space="preserve">musí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0"/>
        </w:rPr>
        <w:t>být  roven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0"/>
        </w:rPr>
        <w:t xml:space="preserve"> nebo větší než 5 %,</w:t>
      </w:r>
      <w:r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 aby směs byla zařazena jako žíravá pro kůži do odp</w:t>
      </w:r>
      <w:r w:rsidR="003950E2"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ovídající kategorie 1A, 1B </w:t>
      </w:r>
      <w:r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1C. </w:t>
      </w:r>
    </w:p>
    <w:p w:rsidR="008F2542" w:rsidRDefault="008F2542" w:rsidP="008F254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cs-CZ"/>
        </w:rPr>
      </w:pPr>
    </w:p>
    <w:p w:rsidR="008F2542" w:rsidRDefault="008F2542" w:rsidP="008F254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Je-li součet složek v kategorii žíravosti 1A &lt; 5 %, avšak součet složek kategorie 1A+1B je ≥ 5 %, směs se klasifikuje jako žíravá pro kůži kategorie 1B. </w:t>
      </w:r>
    </w:p>
    <w:p w:rsidR="008F2542" w:rsidRDefault="008F2542" w:rsidP="008F25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F2542" w:rsidRPr="00C20743" w:rsidRDefault="008F2542" w:rsidP="008F254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Calibri" w:hAnsi="Times New Roman" w:cs="Times New Roman"/>
          <w:color w:val="000000"/>
          <w:sz w:val="24"/>
          <w:szCs w:val="20"/>
        </w:rPr>
        <w:t xml:space="preserve">Obdobně, je-li součet složek žíravých pro kůži kategorie 1A+1B &lt; 5 %, avšak součet složek kategorie 1A+1B+1C je ≥ 5 %, směs se klasifikuje jako žíravá pro kůži kategorie 1C. </w:t>
      </w:r>
    </w:p>
    <w:p w:rsidR="00C20743" w:rsidRDefault="00C20743" w:rsidP="00C20743">
      <w:pPr>
        <w:pStyle w:val="Odstavecseseznamem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C20743" w:rsidRPr="00C20743" w:rsidRDefault="00C20743" w:rsidP="00C207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20743">
        <w:rPr>
          <w:rFonts w:ascii="Times New Roman" w:hAnsi="Times New Roman" w:cs="Times New Roman"/>
          <w:sz w:val="24"/>
          <w:szCs w:val="24"/>
        </w:rPr>
        <w:t>Pokud je alespoň jedna relevantní složka směsi klasifikována jako kategorie 1 bez zařazení do podskupiny, směs se klasifikuje jako kategorie 1 bez zařazení do podskupiny, pokud je součet všech složek žíravých pro kůži ≥ 5 %.</w:t>
      </w:r>
    </w:p>
    <w:p w:rsidR="008F2542" w:rsidRDefault="008F2542" w:rsidP="008F2542">
      <w:pPr>
        <w:pStyle w:val="Odstavecseseznamem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8F2542" w:rsidRDefault="008F2542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  <w:r w:rsidRPr="00956783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  <w:lastRenderedPageBreak/>
        <w:t xml:space="preserve">Třída </w:t>
      </w:r>
      <w:r w:rsidR="00F109FF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  <w:t>v</w:t>
      </w:r>
      <w:r w:rsidRPr="00956783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  <w:t>ážné poškození očí/oční dráždivost</w:t>
      </w:r>
    </w:p>
    <w:p w:rsidR="00C71977" w:rsidRDefault="00C71977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cs-CZ"/>
        </w:rPr>
      </w:pPr>
    </w:p>
    <w:p w:rsidR="00C71977" w:rsidRPr="00F11D28" w:rsidRDefault="00C71977" w:rsidP="00C71977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F11D28">
        <w:rPr>
          <w:rFonts w:ascii="Times New Roman" w:hAnsi="Times New Roman" w:cs="Times New Roman"/>
          <w:sz w:val="24"/>
          <w:szCs w:val="24"/>
          <w:u w:val="single"/>
        </w:rPr>
        <w:t>Několik důležitých připomínek:</w:t>
      </w:r>
    </w:p>
    <w:p w:rsidR="00C71977" w:rsidRDefault="00C71977" w:rsidP="00C7197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Je-li pH směsi menší než 2 a větší než 11,5 je obvykle celá směs klasifikována jako žíravá.</w:t>
      </w:r>
    </w:p>
    <w:p w:rsidR="002F2A3A" w:rsidRDefault="002F2A3A" w:rsidP="00C7197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Pozor na jinou metodu hodnocení pokud jsou k dispozici specifické limity složek.</w:t>
      </w:r>
    </w:p>
    <w:p w:rsidR="00C71977" w:rsidRDefault="00C71977" w:rsidP="00C7197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Je-li ve směsi více než 1 složka s klasifikací žíravý o obsahu 1% je nutné tyto složky zahrnou do posuzování vážného posouzení očí/oční dráždivost.</w:t>
      </w:r>
    </w:p>
    <w:p w:rsidR="008F2542" w:rsidRPr="008F2542" w:rsidRDefault="008F2542" w:rsidP="008F25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70"/>
        <w:gridCol w:w="2880"/>
        <w:gridCol w:w="2662"/>
      </w:tblGrid>
      <w:tr w:rsidR="008F2542" w:rsidTr="005E01E6">
        <w:trPr>
          <w:cantSplit/>
        </w:trPr>
        <w:tc>
          <w:tcPr>
            <w:tcW w:w="3670" w:type="dxa"/>
            <w:vMerge w:val="restart"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Součet složek klasifikovaných jako</w:t>
            </w:r>
          </w:p>
        </w:tc>
        <w:tc>
          <w:tcPr>
            <w:tcW w:w="5542" w:type="dxa"/>
            <w:gridSpan w:val="2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Koncentrace vedoucí ke klasifikaci směsi jako</w:t>
            </w:r>
          </w:p>
        </w:tc>
      </w:tr>
      <w:tr w:rsidR="008F2542" w:rsidTr="005E01E6">
        <w:trPr>
          <w:cantSplit/>
        </w:trPr>
        <w:tc>
          <w:tcPr>
            <w:tcW w:w="3670" w:type="dxa"/>
            <w:vMerge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vážné poškození oči</w:t>
            </w: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dráždivé pro oko</w:t>
            </w:r>
          </w:p>
        </w:tc>
      </w:tr>
      <w:tr w:rsidR="008F2542" w:rsidTr="005E01E6">
        <w:trPr>
          <w:cantSplit/>
        </w:trPr>
        <w:tc>
          <w:tcPr>
            <w:tcW w:w="3670" w:type="dxa"/>
            <w:vMerge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kategorie 1</w:t>
            </w:r>
            <w:r w:rsidR="001D65D0"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*</w:t>
            </w: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kategorie 2</w:t>
            </w:r>
          </w:p>
        </w:tc>
      </w:tr>
      <w:tr w:rsidR="008F2542" w:rsidTr="005E01E6">
        <w:tc>
          <w:tcPr>
            <w:tcW w:w="3670" w:type="dxa"/>
          </w:tcPr>
          <w:p w:rsidR="008F2542" w:rsidRDefault="008F2542" w:rsidP="00C20743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vážné poškození očí žíravé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pro kůži kategorie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1A, 1B, 1C</w:t>
            </w:r>
            <w:r w:rsidR="00C2074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C20743"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nebo kategorie 1 </w:t>
            </w:r>
            <w:r w:rsidR="00C20743" w:rsidRPr="00C20743">
              <w:rPr>
                <w:rFonts w:ascii="Times New Roman" w:hAnsi="Times New Roman" w:cs="Times New Roman"/>
                <w:sz w:val="20"/>
                <w:szCs w:val="20"/>
              </w:rPr>
              <w:t>+ vážně poškozující oči (kategorie 1)</w:t>
            </w:r>
            <w:r w:rsidR="00C20743">
              <w:rPr>
                <w:rFonts w:ascii="Times New Roman" w:hAnsi="Times New Roman" w:cs="Times New Roman"/>
                <w:sz w:val="20"/>
                <w:szCs w:val="20"/>
              </w:rPr>
              <w:t xml:space="preserve"> **</w:t>
            </w: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B3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3 %</w:t>
            </w: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B3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1% ale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3C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3%</w:t>
            </w:r>
          </w:p>
        </w:tc>
      </w:tr>
      <w:tr w:rsidR="008F2542" w:rsidTr="005E01E6">
        <w:tc>
          <w:tcPr>
            <w:tcW w:w="3670" w:type="dxa"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dráždivé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pro oči</w:t>
            </w:r>
          </w:p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kategorie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2</w:t>
            </w: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B3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10 %</w:t>
            </w:r>
          </w:p>
        </w:tc>
      </w:tr>
      <w:tr w:rsidR="008F2542" w:rsidTr="005E01E6">
        <w:tc>
          <w:tcPr>
            <w:tcW w:w="3670" w:type="dxa"/>
          </w:tcPr>
          <w:p w:rsidR="008F2542" w:rsidRDefault="008F2542" w:rsidP="005E01E6">
            <w:pPr>
              <w:pStyle w:val="Bezmez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10 x (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žíravé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pro kůži kategorie 1A, 1B, 1C</w:t>
            </w:r>
            <w:r w:rsidR="00C20743"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nebo </w:t>
            </w:r>
            <w:proofErr w:type="gramStart"/>
            <w:r w:rsidR="00C20743"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kategorie 1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+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vážné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 xml:space="preserve"> poškození očí </w:t>
            </w:r>
            <w:r w:rsidR="00C2074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kategorie</w:t>
            </w:r>
            <w:r w:rsidR="00C20743"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1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>) + dráždivé pro oči kategorie 2</w:t>
            </w:r>
          </w:p>
        </w:tc>
        <w:tc>
          <w:tcPr>
            <w:tcW w:w="2880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</w:p>
        </w:tc>
        <w:tc>
          <w:tcPr>
            <w:tcW w:w="2662" w:type="dxa"/>
          </w:tcPr>
          <w:p w:rsidR="008F2542" w:rsidRDefault="008F2542" w:rsidP="005E01E6">
            <w:pPr>
              <w:pStyle w:val="Bezmezer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sym w:font="Symbol" w:char="F0B3"/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18"/>
              </w:rPr>
              <w:t xml:space="preserve"> 10 %</w:t>
            </w:r>
          </w:p>
        </w:tc>
      </w:tr>
    </w:tbl>
    <w:p w:rsidR="008F2542" w:rsidRDefault="008F2542" w:rsidP="008F25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AB1ABC" w:rsidRDefault="00985644" w:rsidP="00AB1ABC">
      <w:pPr>
        <w:pStyle w:val="Zkladntext"/>
        <w:rPr>
          <w:rFonts w:eastAsia="Times New Roman"/>
          <w:szCs w:val="24"/>
        </w:rPr>
      </w:pPr>
      <w:r>
        <w:rPr>
          <w:rFonts w:eastAsia="Times New Roman"/>
          <w:szCs w:val="24"/>
        </w:rPr>
        <w:t>* P</w:t>
      </w:r>
      <w:r w:rsidR="00AB1ABC">
        <w:rPr>
          <w:rFonts w:eastAsia="Times New Roman"/>
          <w:szCs w:val="24"/>
        </w:rPr>
        <w:t>odrobnosti:</w:t>
      </w:r>
    </w:p>
    <w:p w:rsidR="00AB1ABC" w:rsidRDefault="00AB1ABC" w:rsidP="00AB1AB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>
        <w:rPr>
          <w:rFonts w:ascii="Times New Roman" w:hAnsi="Times New Roman"/>
          <w:color w:val="000000"/>
          <w:sz w:val="24"/>
          <w:szCs w:val="20"/>
        </w:rPr>
        <w:t xml:space="preserve">Součet všech složek směsí klasifikovaných </w:t>
      </w:r>
      <w:proofErr w:type="gramStart"/>
      <w:r>
        <w:rPr>
          <w:rFonts w:ascii="Times New Roman" w:hAnsi="Times New Roman"/>
          <w:color w:val="000000"/>
          <w:sz w:val="24"/>
          <w:szCs w:val="20"/>
        </w:rPr>
        <w:t xml:space="preserve">jako  </w:t>
      </w:r>
      <w:r>
        <w:rPr>
          <w:rFonts w:ascii="Times New Roman" w:hAnsi="Times New Roman"/>
          <w:b/>
          <w:bCs/>
          <w:color w:val="000000"/>
          <w:sz w:val="24"/>
          <w:szCs w:val="18"/>
        </w:rPr>
        <w:t>vážné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18"/>
        </w:rPr>
        <w:t xml:space="preserve"> poškození očí </w:t>
      </w:r>
      <w:r>
        <w:rPr>
          <w:rFonts w:ascii="Times New Roman" w:hAnsi="Times New Roman"/>
          <w:color w:val="000000"/>
          <w:sz w:val="24"/>
          <w:szCs w:val="18"/>
        </w:rPr>
        <w:t xml:space="preserve">kategorie 1 </w:t>
      </w:r>
      <w:r>
        <w:rPr>
          <w:rFonts w:ascii="Times New Roman" w:hAnsi="Times New Roman"/>
          <w:b/>
          <w:bCs/>
          <w:sz w:val="24"/>
          <w:szCs w:val="20"/>
        </w:rPr>
        <w:t>musí být  roven nebo větší než</w:t>
      </w:r>
      <w:r>
        <w:rPr>
          <w:rFonts w:ascii="Times New Roman" w:hAnsi="Times New Roman"/>
          <w:color w:val="000000"/>
          <w:sz w:val="24"/>
          <w:szCs w:val="18"/>
        </w:rPr>
        <w:t xml:space="preserve"> </w:t>
      </w:r>
      <w:r>
        <w:rPr>
          <w:rFonts w:ascii="Times New Roman" w:hAnsi="Times New Roman"/>
          <w:color w:val="000000"/>
          <w:sz w:val="20"/>
          <w:szCs w:val="18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18"/>
        </w:rPr>
        <w:t xml:space="preserve">3 %, </w:t>
      </w:r>
      <w:r>
        <w:rPr>
          <w:rFonts w:ascii="Times New Roman" w:hAnsi="Times New Roman"/>
          <w:color w:val="000000"/>
          <w:sz w:val="24"/>
          <w:szCs w:val="20"/>
        </w:rPr>
        <w:t xml:space="preserve">aby směs byla zařazena jako </w:t>
      </w:r>
      <w:r>
        <w:rPr>
          <w:rFonts w:ascii="Times New Roman" w:hAnsi="Times New Roman"/>
          <w:b/>
          <w:bCs/>
          <w:color w:val="000000"/>
          <w:sz w:val="24"/>
          <w:szCs w:val="18"/>
        </w:rPr>
        <w:t xml:space="preserve">vážné poškození očí </w:t>
      </w:r>
      <w:r>
        <w:rPr>
          <w:rFonts w:ascii="Times New Roman" w:hAnsi="Times New Roman"/>
          <w:color w:val="000000"/>
          <w:sz w:val="24"/>
          <w:szCs w:val="18"/>
        </w:rPr>
        <w:t>kategorie 1.</w:t>
      </w:r>
    </w:p>
    <w:p w:rsidR="00AB1ABC" w:rsidRPr="00C20743" w:rsidRDefault="00AB1ABC" w:rsidP="00AB1AB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>
        <w:rPr>
          <w:rFonts w:ascii="Times New Roman" w:hAnsi="Times New Roman"/>
          <w:color w:val="000000"/>
          <w:sz w:val="24"/>
          <w:szCs w:val="20"/>
        </w:rPr>
        <w:t>Součet všech složek směsí zařazených jako žíravých pro kůži do jednotlivých kategorií 1A, 1B 1C</w:t>
      </w:r>
      <w:r w:rsidR="00C20743">
        <w:rPr>
          <w:rFonts w:ascii="Times New Roman" w:hAnsi="Times New Roman"/>
          <w:color w:val="000000"/>
          <w:sz w:val="24"/>
          <w:szCs w:val="20"/>
        </w:rPr>
        <w:t xml:space="preserve"> </w:t>
      </w:r>
      <w:proofErr w:type="gramStart"/>
      <w:r w:rsidR="00C20743" w:rsidRPr="00C20743">
        <w:rPr>
          <w:rFonts w:ascii="Times New Roman" w:eastAsia="Calibri" w:hAnsi="Times New Roman" w:cs="Times New Roman"/>
          <w:color w:val="000000"/>
          <w:sz w:val="24"/>
          <w:szCs w:val="24"/>
        </w:rPr>
        <w:t>kategorie 1</w:t>
      </w:r>
      <w:r w:rsidR="00C20743">
        <w:rPr>
          <w:rFonts w:ascii="Times New Roman" w:eastAsia="Calibri" w:hAnsi="Times New Roman" w:cs="Times New Roman"/>
          <w:color w:val="000000"/>
          <w:sz w:val="20"/>
          <w:szCs w:val="18"/>
        </w:rPr>
        <w:t xml:space="preserve"> </w:t>
      </w:r>
      <w:r>
        <w:rPr>
          <w:rFonts w:ascii="Times New Roman" w:hAnsi="Times New Roman"/>
          <w:color w:val="000000"/>
          <w:sz w:val="24"/>
          <w:szCs w:val="20"/>
        </w:rPr>
        <w:t xml:space="preserve"> </w:t>
      </w:r>
      <w:r>
        <w:rPr>
          <w:rFonts w:ascii="Times New Roman" w:hAnsi="Times New Roman"/>
          <w:b/>
          <w:bCs/>
          <w:sz w:val="24"/>
          <w:szCs w:val="20"/>
        </w:rPr>
        <w:t>musí</w:t>
      </w:r>
      <w:proofErr w:type="gramEnd"/>
      <w:r>
        <w:rPr>
          <w:rFonts w:ascii="Times New Roman" w:hAnsi="Times New Roman"/>
          <w:b/>
          <w:bCs/>
          <w:sz w:val="24"/>
          <w:szCs w:val="20"/>
        </w:rPr>
        <w:t xml:space="preserve"> být  roven nebo větší než 3 %,</w:t>
      </w:r>
      <w:r>
        <w:rPr>
          <w:rFonts w:ascii="Times New Roman" w:hAnsi="Times New Roman"/>
          <w:color w:val="000000"/>
          <w:sz w:val="24"/>
          <w:szCs w:val="20"/>
        </w:rPr>
        <w:t xml:space="preserve"> aby směs byla zařazena jako </w:t>
      </w:r>
      <w:r>
        <w:rPr>
          <w:rFonts w:ascii="Times New Roman" w:hAnsi="Times New Roman"/>
          <w:b/>
          <w:bCs/>
          <w:color w:val="000000"/>
          <w:sz w:val="24"/>
          <w:szCs w:val="18"/>
        </w:rPr>
        <w:t xml:space="preserve">vážné poškození očí </w:t>
      </w:r>
      <w:r>
        <w:rPr>
          <w:rFonts w:ascii="Times New Roman" w:hAnsi="Times New Roman"/>
          <w:color w:val="000000"/>
          <w:sz w:val="24"/>
          <w:szCs w:val="18"/>
        </w:rPr>
        <w:t>kategorie 1</w:t>
      </w:r>
    </w:p>
    <w:p w:rsidR="00C20743" w:rsidRDefault="00C20743" w:rsidP="00C207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18"/>
        </w:rPr>
      </w:pPr>
    </w:p>
    <w:p w:rsidR="00C20743" w:rsidRPr="00C20743" w:rsidRDefault="00C20743" w:rsidP="00C207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sz w:val="17"/>
          <w:szCs w:val="17"/>
        </w:rPr>
        <w:t xml:space="preserve"> </w:t>
      </w:r>
      <w:r w:rsidRPr="00C20743">
        <w:rPr>
          <w:rFonts w:ascii="Times New Roman" w:hAnsi="Times New Roman" w:cs="Times New Roman"/>
          <w:sz w:val="24"/>
          <w:szCs w:val="24"/>
        </w:rPr>
        <w:t>** Pokud je složka klasifikována jako žíravá pro kůži v podkategorii 1A, 1B, 1C nebo kategorii 1 a současně jako vážně poškozující oči (kategorie 1), zohlední se její koncentrace ve výpočtu pouze jednou.</w:t>
      </w:r>
    </w:p>
    <w:p w:rsidR="00144CA5" w:rsidRDefault="00144CA5">
      <w:pPr>
        <w:rPr>
          <w:rFonts w:ascii="Times New Roman" w:hAnsi="Times New Roman" w:cs="Times New Roman"/>
          <w:sz w:val="24"/>
          <w:szCs w:val="24"/>
        </w:rPr>
      </w:pPr>
    </w:p>
    <w:p w:rsidR="00144CA5" w:rsidRDefault="00144CA5">
      <w:pPr>
        <w:rPr>
          <w:rFonts w:ascii="Times New Roman" w:hAnsi="Times New Roman" w:cs="Times New Roman"/>
          <w:sz w:val="24"/>
          <w:szCs w:val="24"/>
        </w:rPr>
      </w:pPr>
    </w:p>
    <w:p w:rsidR="00C71977" w:rsidRDefault="00C71977">
      <w:pPr>
        <w:rPr>
          <w:rFonts w:ascii="Times New Roman" w:hAnsi="Times New Roman" w:cs="Times New Roman"/>
          <w:sz w:val="24"/>
          <w:szCs w:val="24"/>
        </w:rPr>
      </w:pPr>
    </w:p>
    <w:p w:rsidR="00C71977" w:rsidRDefault="00C71977">
      <w:pPr>
        <w:rPr>
          <w:rFonts w:ascii="Times New Roman" w:hAnsi="Times New Roman" w:cs="Times New Roman"/>
          <w:sz w:val="24"/>
          <w:szCs w:val="24"/>
        </w:rPr>
      </w:pPr>
    </w:p>
    <w:p w:rsidR="00C71977" w:rsidRDefault="00C71977">
      <w:pPr>
        <w:rPr>
          <w:rFonts w:ascii="Times New Roman" w:hAnsi="Times New Roman" w:cs="Times New Roman"/>
          <w:sz w:val="24"/>
          <w:szCs w:val="24"/>
        </w:rPr>
      </w:pPr>
    </w:p>
    <w:p w:rsidR="00C71977" w:rsidRDefault="00C71977">
      <w:pPr>
        <w:rPr>
          <w:rFonts w:ascii="Times New Roman" w:hAnsi="Times New Roman" w:cs="Times New Roman"/>
          <w:sz w:val="24"/>
          <w:szCs w:val="24"/>
        </w:rPr>
      </w:pPr>
    </w:p>
    <w:p w:rsidR="00C71977" w:rsidRDefault="00C71977">
      <w:pPr>
        <w:rPr>
          <w:rFonts w:ascii="Times New Roman" w:hAnsi="Times New Roman" w:cs="Times New Roman"/>
          <w:sz w:val="24"/>
          <w:szCs w:val="24"/>
        </w:rPr>
      </w:pPr>
    </w:p>
    <w:p w:rsidR="00C71977" w:rsidRDefault="00C71977">
      <w:pPr>
        <w:rPr>
          <w:rFonts w:ascii="Times New Roman" w:hAnsi="Times New Roman" w:cs="Times New Roman"/>
          <w:sz w:val="24"/>
          <w:szCs w:val="24"/>
        </w:rPr>
      </w:pPr>
    </w:p>
    <w:p w:rsidR="00C71977" w:rsidRDefault="00C71977">
      <w:pPr>
        <w:rPr>
          <w:rFonts w:ascii="Times New Roman" w:hAnsi="Times New Roman" w:cs="Times New Roman"/>
          <w:sz w:val="24"/>
          <w:szCs w:val="24"/>
        </w:rPr>
      </w:pPr>
    </w:p>
    <w:p w:rsidR="00C71977" w:rsidRDefault="00C71977">
      <w:pPr>
        <w:rPr>
          <w:rFonts w:ascii="Times New Roman" w:hAnsi="Times New Roman" w:cs="Times New Roman"/>
          <w:sz w:val="24"/>
          <w:szCs w:val="24"/>
        </w:rPr>
      </w:pPr>
    </w:p>
    <w:p w:rsidR="002F2A3A" w:rsidRDefault="002F2A3A">
      <w:pPr>
        <w:rPr>
          <w:rFonts w:ascii="Times New Roman" w:hAnsi="Times New Roman" w:cs="Times New Roman"/>
          <w:sz w:val="24"/>
          <w:szCs w:val="24"/>
        </w:rPr>
      </w:pPr>
    </w:p>
    <w:p w:rsidR="00144CA5" w:rsidRPr="005E01E6" w:rsidRDefault="00E308E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01E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5E01E6">
        <w:rPr>
          <w:rFonts w:ascii="Times New Roman" w:hAnsi="Times New Roman" w:cs="Times New Roman"/>
          <w:b/>
          <w:sz w:val="24"/>
          <w:szCs w:val="24"/>
          <w:u w:val="single"/>
        </w:rPr>
        <w:t>enzibilizace</w:t>
      </w:r>
    </w:p>
    <w:p w:rsidR="00C71977" w:rsidRPr="0015558C" w:rsidRDefault="00C71977" w:rsidP="00C71977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15558C">
        <w:rPr>
          <w:rFonts w:ascii="Times New Roman" w:hAnsi="Times New Roman" w:cs="Times New Roman"/>
          <w:sz w:val="24"/>
          <w:szCs w:val="24"/>
          <w:u w:val="single"/>
        </w:rPr>
        <w:t>Několik důležitých připomínek:</w:t>
      </w:r>
    </w:p>
    <w:p w:rsidR="0015558C" w:rsidRDefault="0015558C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Senzibilizace není aditivní vlastnost, posuzuje se podle jednotlivých složek.</w:t>
      </w:r>
    </w:p>
    <w:p w:rsidR="00C71977" w:rsidRDefault="002C49CF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Pozor na upřesnění senzibilizace rozdělením na podtřídy 1A a 1B.</w:t>
      </w:r>
    </w:p>
    <w:p w:rsidR="0015558C" w:rsidRDefault="002C49CF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Obecně platí, že je-li látky senzibilizující </w:t>
      </w:r>
      <w:r w:rsidR="0015558C">
        <w:rPr>
          <w:rFonts w:ascii="Times New Roman" w:hAnsi="Times New Roman" w:cs="Times New Roman"/>
          <w:sz w:val="24"/>
          <w:szCs w:val="24"/>
        </w:rPr>
        <w:t>0,</w:t>
      </w:r>
      <w:r>
        <w:rPr>
          <w:rFonts w:ascii="Times New Roman" w:hAnsi="Times New Roman" w:cs="Times New Roman"/>
          <w:sz w:val="24"/>
          <w:szCs w:val="24"/>
        </w:rPr>
        <w:t>1</w:t>
      </w:r>
      <w:r w:rsidR="0015558C">
        <w:rPr>
          <w:rFonts w:ascii="Times New Roman" w:hAnsi="Times New Roman" w:cs="Times New Roman"/>
          <w:sz w:val="24"/>
          <w:szCs w:val="24"/>
        </w:rPr>
        <w:t xml:space="preserve"> – 1 </w:t>
      </w:r>
      <w:r>
        <w:rPr>
          <w:rFonts w:ascii="Times New Roman" w:hAnsi="Times New Roman" w:cs="Times New Roman"/>
          <w:sz w:val="24"/>
          <w:szCs w:val="24"/>
        </w:rPr>
        <w:t>%</w:t>
      </w:r>
      <w:r w:rsidR="0015558C">
        <w:rPr>
          <w:rFonts w:ascii="Times New Roman" w:hAnsi="Times New Roman" w:cs="Times New Roman"/>
          <w:sz w:val="24"/>
          <w:szCs w:val="24"/>
        </w:rPr>
        <w:t xml:space="preserve"> použije se doplňková věta EUH208 (Obsahuje: Název senzibilizující látky. Může vyvolat alergickou reakci.)</w:t>
      </w:r>
    </w:p>
    <w:p w:rsidR="0015558C" w:rsidRDefault="0015558C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klasifikace 1A se použití EUH věty posunuje do hranic 0,01 – 0,1%</w:t>
      </w:r>
    </w:p>
    <w:p w:rsidR="002C49CF" w:rsidRDefault="0015558C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látek se specifickým limitem se použití věty EUH208 řídí podobným principem, </w:t>
      </w:r>
      <w:proofErr w:type="gramStart"/>
      <w:r>
        <w:rPr>
          <w:rFonts w:ascii="Times New Roman" w:hAnsi="Times New Roman" w:cs="Times New Roman"/>
          <w:sz w:val="24"/>
          <w:szCs w:val="24"/>
        </w:rPr>
        <w:t>je-li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např. specifický limit pro klasifikaci směsi </w:t>
      </w:r>
      <w:proofErr w:type="gramStart"/>
      <w:r>
        <w:rPr>
          <w:rFonts w:ascii="Times New Roman" w:hAnsi="Times New Roman" w:cs="Times New Roman"/>
          <w:sz w:val="24"/>
          <w:szCs w:val="24"/>
        </w:rPr>
        <w:t>senzibilizují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0,0015 %, pak limit pro EUH208 je v rozmezí 0,0001 – 0,001.</w:t>
      </w:r>
    </w:p>
    <w:p w:rsidR="00C71977" w:rsidRDefault="0015558C" w:rsidP="001555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detergentů se zabýváme i alergenními složkami o koncentraci nad 0,01, musí být uvedeny na obalu.</w:t>
      </w:r>
    </w:p>
    <w:p w:rsidR="00E308E2" w:rsidRPr="00583268" w:rsidRDefault="00E308E2" w:rsidP="00AB7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268">
        <w:rPr>
          <w:rFonts w:ascii="Times New Roman" w:hAnsi="Times New Roman" w:cs="Times New Roman"/>
          <w:b/>
          <w:sz w:val="24"/>
          <w:szCs w:val="24"/>
        </w:rPr>
        <w:t>Obecné koncentrační limity složek směsí klasifikovaných jako látky senzibilizující dýchací cesty nebo kůži, které vedou ke klasifikaci směsi</w:t>
      </w: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1843"/>
        <w:gridCol w:w="1843"/>
        <w:gridCol w:w="2583"/>
      </w:tblGrid>
      <w:tr w:rsidR="00AB7B65" w:rsidRPr="00AB7B65" w:rsidTr="00AB7B65">
        <w:tc>
          <w:tcPr>
            <w:tcW w:w="2835" w:type="dxa"/>
            <w:vMerge w:val="restart"/>
          </w:tcPr>
          <w:p w:rsid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</w:tc>
        <w:tc>
          <w:tcPr>
            <w:tcW w:w="6269" w:type="dxa"/>
            <w:gridSpan w:val="3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Obecné koncentrační limity vedoucí ke klasifikaci směsi jako:</w:t>
            </w:r>
          </w:p>
        </w:tc>
      </w:tr>
      <w:tr w:rsidR="00AB7B65" w:rsidRPr="00AB7B65" w:rsidTr="00AB7B65">
        <w:tc>
          <w:tcPr>
            <w:tcW w:w="2835" w:type="dxa"/>
            <w:vMerge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gridSpan w:val="2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Látka senzibilizující dýchací cesty</w:t>
            </w:r>
          </w:p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Kategorie 1</w:t>
            </w:r>
          </w:p>
        </w:tc>
        <w:tc>
          <w:tcPr>
            <w:tcW w:w="2583" w:type="dxa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Látka senzibilizující kůži</w:t>
            </w:r>
          </w:p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Kategorie 1</w:t>
            </w:r>
          </w:p>
        </w:tc>
      </w:tr>
      <w:tr w:rsidR="00AB7B65" w:rsidRPr="00AB7B65" w:rsidTr="00AB7B65">
        <w:tc>
          <w:tcPr>
            <w:tcW w:w="2835" w:type="dxa"/>
            <w:vMerge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tuhé/kapalné</w:t>
            </w:r>
          </w:p>
        </w:tc>
        <w:tc>
          <w:tcPr>
            <w:tcW w:w="1843" w:type="dxa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plynné</w:t>
            </w:r>
          </w:p>
        </w:tc>
        <w:tc>
          <w:tcPr>
            <w:tcW w:w="2583" w:type="dxa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všechna skupenství</w:t>
            </w:r>
          </w:p>
        </w:tc>
      </w:tr>
      <w:tr w:rsidR="00AB7B65" w:rsidRPr="00AB7B65" w:rsidTr="00934EE6">
        <w:tc>
          <w:tcPr>
            <w:tcW w:w="2835" w:type="dxa"/>
          </w:tcPr>
          <w:p w:rsidR="00AB7B65" w:rsidRDefault="00AB7B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</w:t>
            </w:r>
            <w:r w:rsidR="00934EE6">
              <w:rPr>
                <w:rFonts w:ascii="Times New Roman" w:hAnsi="Times New Roman" w:cs="Times New Roman"/>
              </w:rPr>
              <w:t>í cesty</w:t>
            </w:r>
          </w:p>
          <w:p w:rsidR="00934EE6" w:rsidRPr="00AB7B65" w:rsidRDefault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0,2 %</w:t>
            </w:r>
          </w:p>
        </w:tc>
        <w:tc>
          <w:tcPr>
            <w:tcW w:w="258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Podategorie</w:t>
            </w:r>
            <w:proofErr w:type="spellEnd"/>
            <w:r>
              <w:rPr>
                <w:rFonts w:ascii="Times New Roman" w:hAnsi="Times New Roman" w:cs="Times New Roman"/>
              </w:rPr>
              <w:t xml:space="preserve"> 1A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58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1B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0,2 %</w:t>
            </w:r>
          </w:p>
        </w:tc>
        <w:tc>
          <w:tcPr>
            <w:tcW w:w="258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1A</w:t>
            </w: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1B</w:t>
            </w: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</w:tr>
    </w:tbl>
    <w:p w:rsidR="00934EE6" w:rsidRDefault="00934EE6"/>
    <w:p w:rsidR="00934EE6" w:rsidRPr="00934EE6" w:rsidRDefault="00934EE6" w:rsidP="00934EE6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EE6">
        <w:rPr>
          <w:rFonts w:ascii="Times New Roman" w:hAnsi="Times New Roman" w:cs="Times New Roman"/>
          <w:b/>
          <w:sz w:val="24"/>
          <w:szCs w:val="24"/>
        </w:rPr>
        <w:t xml:space="preserve">Koncentrační limity pro </w:t>
      </w:r>
      <w:proofErr w:type="spellStart"/>
      <w:r w:rsidRPr="00934EE6">
        <w:rPr>
          <w:rFonts w:ascii="Times New Roman" w:hAnsi="Times New Roman" w:cs="Times New Roman"/>
          <w:b/>
          <w:sz w:val="24"/>
          <w:szCs w:val="24"/>
        </w:rPr>
        <w:t>elicitaci</w:t>
      </w:r>
      <w:proofErr w:type="spellEnd"/>
      <w:r w:rsidRPr="00934EE6">
        <w:rPr>
          <w:rFonts w:ascii="Times New Roman" w:hAnsi="Times New Roman" w:cs="Times New Roman"/>
          <w:b/>
          <w:sz w:val="24"/>
          <w:szCs w:val="24"/>
        </w:rPr>
        <w:t xml:space="preserve"> složek směsi</w:t>
      </w:r>
    </w:p>
    <w:p w:rsidR="00934EE6" w:rsidRPr="00934EE6" w:rsidRDefault="00934EE6" w:rsidP="00934EE6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934EE6">
        <w:rPr>
          <w:rFonts w:ascii="Times New Roman" w:hAnsi="Times New Roman" w:cs="Times New Roman"/>
          <w:sz w:val="24"/>
          <w:szCs w:val="24"/>
        </w:rPr>
        <w:t>(Použití věty EUH208)</w:t>
      </w:r>
    </w:p>
    <w:p w:rsidR="00934EE6" w:rsidRDefault="00934EE6" w:rsidP="00934EE6">
      <w:pPr>
        <w:pStyle w:val="Bezmezer"/>
      </w:pP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1843"/>
        <w:gridCol w:w="1843"/>
        <w:gridCol w:w="2583"/>
      </w:tblGrid>
      <w:tr w:rsidR="00934EE6" w:rsidRPr="00AB7B65" w:rsidTr="005E01E6">
        <w:tc>
          <w:tcPr>
            <w:tcW w:w="2835" w:type="dxa"/>
            <w:vMerge w:val="restart"/>
          </w:tcPr>
          <w:p w:rsidR="00934EE6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34EE6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</w:tc>
        <w:tc>
          <w:tcPr>
            <w:tcW w:w="6269" w:type="dxa"/>
            <w:gridSpan w:val="3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Koncentrační limity pro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elicitaci</w:t>
            </w:r>
            <w:proofErr w:type="spellEnd"/>
          </w:p>
        </w:tc>
      </w:tr>
      <w:tr w:rsidR="00934EE6" w:rsidRPr="00AB7B65" w:rsidTr="005E01E6">
        <w:tc>
          <w:tcPr>
            <w:tcW w:w="2835" w:type="dxa"/>
            <w:vMerge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gridSpan w:val="2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Látka senzibilizující dýchací cesty</w:t>
            </w:r>
          </w:p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Kategorie 1</w:t>
            </w:r>
          </w:p>
        </w:tc>
        <w:tc>
          <w:tcPr>
            <w:tcW w:w="2583" w:type="dxa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Látka senzibilizující kůži</w:t>
            </w:r>
          </w:p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Kategorie 1</w:t>
            </w:r>
          </w:p>
        </w:tc>
      </w:tr>
      <w:tr w:rsidR="00934EE6" w:rsidRPr="00AB7B65" w:rsidTr="005E01E6">
        <w:tc>
          <w:tcPr>
            <w:tcW w:w="2835" w:type="dxa"/>
            <w:vMerge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tuhé/kapalné</w:t>
            </w:r>
          </w:p>
        </w:tc>
        <w:tc>
          <w:tcPr>
            <w:tcW w:w="1843" w:type="dxa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plynné</w:t>
            </w:r>
          </w:p>
        </w:tc>
        <w:tc>
          <w:tcPr>
            <w:tcW w:w="2583" w:type="dxa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všechna skupenství</w:t>
            </w: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184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184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58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Podategorie</w:t>
            </w:r>
            <w:proofErr w:type="spellEnd"/>
            <w:r>
              <w:rPr>
                <w:rFonts w:ascii="Times New Roman" w:hAnsi="Times New Roman" w:cs="Times New Roman"/>
              </w:rPr>
              <w:t xml:space="preserve"> 1A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</w:t>
            </w:r>
            <w:r w:rsidR="005E01E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1 %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</w:t>
            </w:r>
            <w:r w:rsidR="005E01E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1 %</w:t>
            </w:r>
          </w:p>
        </w:tc>
        <w:tc>
          <w:tcPr>
            <w:tcW w:w="258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E01E6" w:rsidRDefault="005E01E6"/>
    <w:tbl>
      <w:tblPr>
        <w:tblStyle w:val="Mkatabulky"/>
        <w:tblW w:w="0" w:type="auto"/>
        <w:tblInd w:w="108" w:type="dxa"/>
        <w:tblLook w:val="04A0"/>
      </w:tblPr>
      <w:tblGrid>
        <w:gridCol w:w="2835"/>
        <w:gridCol w:w="1843"/>
        <w:gridCol w:w="1843"/>
        <w:gridCol w:w="2583"/>
      </w:tblGrid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Látka senzibilizující dýchací cesty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1B</w:t>
            </w:r>
          </w:p>
        </w:tc>
        <w:tc>
          <w:tcPr>
            <w:tcW w:w="184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184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58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1A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</w:t>
            </w:r>
            <w:r w:rsidR="005E01E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1 %</w:t>
            </w: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1B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</w:tr>
    </w:tbl>
    <w:p w:rsidR="00144CA5" w:rsidRDefault="00144CA5">
      <w:pPr>
        <w:rPr>
          <w:rFonts w:ascii="Times New Roman" w:hAnsi="Times New Roman" w:cs="Times New Roman"/>
          <w:sz w:val="24"/>
          <w:szCs w:val="24"/>
        </w:rPr>
      </w:pPr>
    </w:p>
    <w:p w:rsidR="005B40FB" w:rsidRDefault="005B40F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 w:rsidR="006332DB" w:rsidRPr="00956783">
        <w:rPr>
          <w:rFonts w:ascii="Times New Roman" w:hAnsi="Times New Roman" w:cs="Times New Roman"/>
          <w:b/>
          <w:sz w:val="24"/>
          <w:szCs w:val="24"/>
          <w:u w:val="single"/>
        </w:rPr>
        <w:t>utagenita</w:t>
      </w:r>
    </w:p>
    <w:p w:rsidR="005E01E6" w:rsidRDefault="00E560D3" w:rsidP="00E560D3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0D3">
        <w:rPr>
          <w:rFonts w:ascii="Times New Roman" w:hAnsi="Times New Roman" w:cs="Times New Roman"/>
          <w:b/>
          <w:sz w:val="24"/>
          <w:szCs w:val="24"/>
        </w:rPr>
        <w:t xml:space="preserve">Obecné koncentrační limity složek směsi klasifikované jako mutageny zárodečných buněk, které vedou ke klasifikaci </w:t>
      </w:r>
      <w:r w:rsidR="00583268">
        <w:rPr>
          <w:rFonts w:ascii="Times New Roman" w:hAnsi="Times New Roman" w:cs="Times New Roman"/>
          <w:b/>
          <w:sz w:val="24"/>
          <w:szCs w:val="24"/>
        </w:rPr>
        <w:t>směsi</w:t>
      </w:r>
      <w:r w:rsidRPr="00E560D3">
        <w:rPr>
          <w:rFonts w:ascii="Times New Roman" w:hAnsi="Times New Roman" w:cs="Times New Roman"/>
          <w:b/>
          <w:sz w:val="24"/>
          <w:szCs w:val="24"/>
        </w:rPr>
        <w:t>.</w:t>
      </w:r>
    </w:p>
    <w:p w:rsidR="00E560D3" w:rsidRPr="00E560D3" w:rsidRDefault="00E560D3" w:rsidP="00E560D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2127"/>
        <w:gridCol w:w="2126"/>
        <w:gridCol w:w="2016"/>
      </w:tblGrid>
      <w:tr w:rsidR="005E01E6" w:rsidRPr="00AB7B65" w:rsidTr="005E01E6">
        <w:tc>
          <w:tcPr>
            <w:tcW w:w="2835" w:type="dxa"/>
            <w:vMerge w:val="restart"/>
          </w:tcPr>
          <w:p w:rsidR="005E01E6" w:rsidRDefault="005E01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E01E6" w:rsidRDefault="005E01E6" w:rsidP="00E560D3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E560D3" w:rsidRPr="00AB7B65" w:rsidRDefault="00E560D3" w:rsidP="00E560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69" w:type="dxa"/>
            <w:gridSpan w:val="3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="005E01E6"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5E01E6" w:rsidRPr="00AB7B65" w:rsidTr="00E560D3">
        <w:tc>
          <w:tcPr>
            <w:tcW w:w="2835" w:type="dxa"/>
            <w:vMerge/>
          </w:tcPr>
          <w:p w:rsidR="005E01E6" w:rsidRPr="00AB7B65" w:rsidRDefault="005E01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5E01E6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Mutagen</w:t>
            </w:r>
          </w:p>
          <w:p w:rsidR="00E560D3" w:rsidRPr="00AB7B65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1A</w:t>
            </w:r>
          </w:p>
        </w:tc>
        <w:tc>
          <w:tcPr>
            <w:tcW w:w="2126" w:type="dxa"/>
          </w:tcPr>
          <w:p w:rsidR="005E01E6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Mutagen</w:t>
            </w:r>
          </w:p>
          <w:p w:rsidR="00E560D3" w:rsidRPr="00AB7B65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1B</w:t>
            </w:r>
          </w:p>
        </w:tc>
        <w:tc>
          <w:tcPr>
            <w:tcW w:w="2016" w:type="dxa"/>
          </w:tcPr>
          <w:p w:rsidR="005E01E6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Mutagen</w:t>
            </w:r>
          </w:p>
          <w:p w:rsidR="00E560D3" w:rsidRPr="00AB7B65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5E01E6" w:rsidRPr="00AB7B65" w:rsidTr="00E560D3">
        <w:tc>
          <w:tcPr>
            <w:tcW w:w="2835" w:type="dxa"/>
          </w:tcPr>
          <w:p w:rsidR="00E560D3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Mutagen</w:t>
            </w:r>
          </w:p>
          <w:p w:rsidR="005E01E6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1A</w:t>
            </w:r>
          </w:p>
        </w:tc>
        <w:tc>
          <w:tcPr>
            <w:tcW w:w="2127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12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E01E6" w:rsidRPr="00AB7B65" w:rsidTr="00E560D3">
        <w:tc>
          <w:tcPr>
            <w:tcW w:w="2835" w:type="dxa"/>
          </w:tcPr>
          <w:p w:rsidR="00E560D3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Mutagen</w:t>
            </w:r>
          </w:p>
          <w:p w:rsidR="005E01E6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</w:t>
            </w:r>
            <w:r w:rsidR="0058326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127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01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E01E6" w:rsidRPr="00AB7B65" w:rsidTr="00E560D3">
        <w:tc>
          <w:tcPr>
            <w:tcW w:w="2835" w:type="dxa"/>
          </w:tcPr>
          <w:p w:rsidR="00E560D3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Mutagen</w:t>
            </w:r>
          </w:p>
          <w:p w:rsidR="005E01E6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 xml:space="preserve">Kategorie </w:t>
            </w:r>
            <w:r w:rsidR="005832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</w:tr>
    </w:tbl>
    <w:p w:rsidR="005E01E6" w:rsidRPr="00956783" w:rsidRDefault="005E01E6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44CA5" w:rsidRDefault="006332D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proofErr w:type="spellStart"/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k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>arcinogenita</w:t>
      </w:r>
      <w:proofErr w:type="spellEnd"/>
    </w:p>
    <w:p w:rsidR="00E560D3" w:rsidRDefault="00E560D3" w:rsidP="00E560D3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0D3">
        <w:rPr>
          <w:rFonts w:ascii="Times New Roman" w:hAnsi="Times New Roman" w:cs="Times New Roman"/>
          <w:b/>
          <w:sz w:val="24"/>
          <w:szCs w:val="24"/>
        </w:rPr>
        <w:t>Obecné koncentrační limity složek směsi klasifikovan</w:t>
      </w:r>
      <w:r>
        <w:rPr>
          <w:rFonts w:ascii="Times New Roman" w:hAnsi="Times New Roman" w:cs="Times New Roman"/>
          <w:b/>
          <w:sz w:val="24"/>
          <w:szCs w:val="24"/>
        </w:rPr>
        <w:t>ých</w:t>
      </w:r>
      <w:r w:rsidRPr="00E560D3">
        <w:rPr>
          <w:rFonts w:ascii="Times New Roman" w:hAnsi="Times New Roman" w:cs="Times New Roman"/>
          <w:b/>
          <w:sz w:val="24"/>
          <w:szCs w:val="24"/>
        </w:rPr>
        <w:t xml:space="preserve"> jako </w:t>
      </w:r>
      <w:r>
        <w:rPr>
          <w:rFonts w:ascii="Times New Roman" w:hAnsi="Times New Roman" w:cs="Times New Roman"/>
          <w:b/>
          <w:sz w:val="24"/>
          <w:szCs w:val="24"/>
        </w:rPr>
        <w:t xml:space="preserve">karcinogen, </w:t>
      </w:r>
      <w:r w:rsidRPr="00E560D3">
        <w:rPr>
          <w:rFonts w:ascii="Times New Roman" w:hAnsi="Times New Roman" w:cs="Times New Roman"/>
          <w:b/>
          <w:sz w:val="24"/>
          <w:szCs w:val="24"/>
        </w:rPr>
        <w:t xml:space="preserve">které vedou ke klasifikaci </w:t>
      </w:r>
      <w:r w:rsidR="00583268">
        <w:rPr>
          <w:rFonts w:ascii="Times New Roman" w:hAnsi="Times New Roman" w:cs="Times New Roman"/>
          <w:b/>
          <w:sz w:val="24"/>
          <w:szCs w:val="24"/>
        </w:rPr>
        <w:t>směsi</w:t>
      </w:r>
      <w:r w:rsidRPr="00E560D3">
        <w:rPr>
          <w:rFonts w:ascii="Times New Roman" w:hAnsi="Times New Roman" w:cs="Times New Roman"/>
          <w:b/>
          <w:sz w:val="24"/>
          <w:szCs w:val="24"/>
        </w:rPr>
        <w:t>.</w:t>
      </w:r>
    </w:p>
    <w:p w:rsidR="00E560D3" w:rsidRPr="00E560D3" w:rsidRDefault="00E560D3" w:rsidP="00E560D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2127"/>
        <w:gridCol w:w="2126"/>
        <w:gridCol w:w="2016"/>
      </w:tblGrid>
      <w:tr w:rsidR="00E560D3" w:rsidRPr="00AB7B65" w:rsidTr="003346D9">
        <w:tc>
          <w:tcPr>
            <w:tcW w:w="2835" w:type="dxa"/>
            <w:vMerge w:val="restart"/>
          </w:tcPr>
          <w:p w:rsidR="00E560D3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560D3" w:rsidRDefault="00E560D3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E560D3" w:rsidRPr="00AB7B65" w:rsidRDefault="00E560D3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69" w:type="dxa"/>
            <w:gridSpan w:val="3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E560D3" w:rsidRPr="00AB7B65" w:rsidTr="003346D9">
        <w:tc>
          <w:tcPr>
            <w:tcW w:w="2835" w:type="dxa"/>
            <w:vMerge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E560D3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Karcinogen</w:t>
            </w:r>
          </w:p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1A</w:t>
            </w:r>
          </w:p>
        </w:tc>
        <w:tc>
          <w:tcPr>
            <w:tcW w:w="2126" w:type="dxa"/>
          </w:tcPr>
          <w:p w:rsidR="00E560D3" w:rsidRDefault="00583268" w:rsidP="005832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Karcinogen</w:t>
            </w:r>
          </w:p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1B</w:t>
            </w:r>
          </w:p>
        </w:tc>
        <w:tc>
          <w:tcPr>
            <w:tcW w:w="2016" w:type="dxa"/>
          </w:tcPr>
          <w:p w:rsidR="00E560D3" w:rsidRDefault="00583268" w:rsidP="005832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Karcinogen</w:t>
            </w:r>
          </w:p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E560D3" w:rsidRPr="00AB7B65" w:rsidTr="003346D9">
        <w:tc>
          <w:tcPr>
            <w:tcW w:w="2835" w:type="dxa"/>
          </w:tcPr>
          <w:p w:rsidR="00E560D3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Karcinogen</w:t>
            </w:r>
          </w:p>
          <w:p w:rsidR="00E560D3" w:rsidRPr="00E560D3" w:rsidRDefault="00E560D3" w:rsidP="003346D9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1A</w:t>
            </w:r>
          </w:p>
        </w:tc>
        <w:tc>
          <w:tcPr>
            <w:tcW w:w="2127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12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560D3" w:rsidRPr="00AB7B65" w:rsidTr="003346D9">
        <w:tc>
          <w:tcPr>
            <w:tcW w:w="2835" w:type="dxa"/>
          </w:tcPr>
          <w:p w:rsidR="00583268" w:rsidRPr="00E560D3" w:rsidRDefault="00583268" w:rsidP="005832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Karcinogen</w:t>
            </w:r>
          </w:p>
          <w:p w:rsidR="00E560D3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1B</w:t>
            </w:r>
          </w:p>
        </w:tc>
        <w:tc>
          <w:tcPr>
            <w:tcW w:w="2127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01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560D3" w:rsidRPr="00AB7B65" w:rsidTr="003346D9">
        <w:tc>
          <w:tcPr>
            <w:tcW w:w="2835" w:type="dxa"/>
          </w:tcPr>
          <w:p w:rsidR="00583268" w:rsidRPr="00E560D3" w:rsidRDefault="00583268" w:rsidP="005832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Karcinogen</w:t>
            </w:r>
          </w:p>
          <w:p w:rsidR="00E560D3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2</w:t>
            </w:r>
          </w:p>
        </w:tc>
        <w:tc>
          <w:tcPr>
            <w:tcW w:w="2127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</w:tr>
    </w:tbl>
    <w:p w:rsidR="00E560D3" w:rsidRPr="00956783" w:rsidRDefault="00E560D3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44CA5" w:rsidRDefault="00144CA5" w:rsidP="00144CA5">
      <w:pPr>
        <w:rPr>
          <w:rFonts w:ascii="Times New Roman" w:hAnsi="Times New Roman" w:cs="Times New Roman"/>
          <w:sz w:val="24"/>
          <w:szCs w:val="24"/>
        </w:rPr>
      </w:pPr>
    </w:p>
    <w:p w:rsidR="006332DB" w:rsidRDefault="006332DB" w:rsidP="00144CA5">
      <w:pPr>
        <w:rPr>
          <w:rFonts w:ascii="Times New Roman" w:hAnsi="Times New Roman" w:cs="Times New Roman"/>
          <w:sz w:val="24"/>
          <w:szCs w:val="24"/>
        </w:rPr>
      </w:pPr>
    </w:p>
    <w:p w:rsidR="006332DB" w:rsidRDefault="006332DB" w:rsidP="00144CA5">
      <w:pPr>
        <w:rPr>
          <w:rFonts w:ascii="Times New Roman" w:hAnsi="Times New Roman" w:cs="Times New Roman"/>
          <w:sz w:val="24"/>
          <w:szCs w:val="24"/>
        </w:rPr>
      </w:pPr>
    </w:p>
    <w:p w:rsidR="006332DB" w:rsidRDefault="006332DB" w:rsidP="00144CA5">
      <w:pPr>
        <w:rPr>
          <w:rFonts w:ascii="Times New Roman" w:hAnsi="Times New Roman" w:cs="Times New Roman"/>
          <w:sz w:val="24"/>
          <w:szCs w:val="24"/>
        </w:rPr>
      </w:pPr>
    </w:p>
    <w:p w:rsidR="006332DB" w:rsidRDefault="006332DB" w:rsidP="00144CA5">
      <w:pPr>
        <w:rPr>
          <w:rFonts w:ascii="Times New Roman" w:hAnsi="Times New Roman" w:cs="Times New Roman"/>
          <w:sz w:val="24"/>
          <w:szCs w:val="24"/>
        </w:rPr>
      </w:pPr>
    </w:p>
    <w:p w:rsidR="006332DB" w:rsidRPr="00956783" w:rsidRDefault="006332D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>eprodukční toxicita</w:t>
      </w:r>
    </w:p>
    <w:p w:rsidR="00583268" w:rsidRDefault="00583268" w:rsidP="00583268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0D3">
        <w:rPr>
          <w:rFonts w:ascii="Times New Roman" w:hAnsi="Times New Roman" w:cs="Times New Roman"/>
          <w:b/>
          <w:sz w:val="24"/>
          <w:szCs w:val="24"/>
        </w:rPr>
        <w:t>Obecné koncentrační limity složek směsi klasifikovan</w:t>
      </w:r>
      <w:r>
        <w:rPr>
          <w:rFonts w:ascii="Times New Roman" w:hAnsi="Times New Roman" w:cs="Times New Roman"/>
          <w:b/>
          <w:sz w:val="24"/>
          <w:szCs w:val="24"/>
        </w:rPr>
        <w:t>ých</w:t>
      </w:r>
      <w:r w:rsidRPr="00E560D3">
        <w:rPr>
          <w:rFonts w:ascii="Times New Roman" w:hAnsi="Times New Roman" w:cs="Times New Roman"/>
          <w:b/>
          <w:sz w:val="24"/>
          <w:szCs w:val="24"/>
        </w:rPr>
        <w:t xml:space="preserve"> jako </w:t>
      </w:r>
      <w:r>
        <w:rPr>
          <w:rFonts w:ascii="Times New Roman" w:hAnsi="Times New Roman" w:cs="Times New Roman"/>
          <w:b/>
          <w:sz w:val="24"/>
          <w:szCs w:val="24"/>
        </w:rPr>
        <w:t xml:space="preserve">toxické pro reprodukci, </w:t>
      </w:r>
      <w:r w:rsidRPr="00E560D3">
        <w:rPr>
          <w:rFonts w:ascii="Times New Roman" w:hAnsi="Times New Roman" w:cs="Times New Roman"/>
          <w:b/>
          <w:sz w:val="24"/>
          <w:szCs w:val="24"/>
        </w:rPr>
        <w:t xml:space="preserve">které vedou ke klasifikaci </w:t>
      </w:r>
      <w:r>
        <w:rPr>
          <w:rFonts w:ascii="Times New Roman" w:hAnsi="Times New Roman" w:cs="Times New Roman"/>
          <w:b/>
          <w:sz w:val="24"/>
          <w:szCs w:val="24"/>
        </w:rPr>
        <w:t>směsi</w:t>
      </w:r>
      <w:r w:rsidRPr="00E560D3">
        <w:rPr>
          <w:rFonts w:ascii="Times New Roman" w:hAnsi="Times New Roman" w:cs="Times New Roman"/>
          <w:b/>
          <w:sz w:val="24"/>
          <w:szCs w:val="24"/>
        </w:rPr>
        <w:t>.</w:t>
      </w:r>
    </w:p>
    <w:p w:rsidR="00583268" w:rsidRDefault="00583268" w:rsidP="0058326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583268" w:rsidRPr="00583268" w:rsidRDefault="00583268" w:rsidP="005832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Zpřísnění proti původní klasifikaci.</w:t>
      </w: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2127"/>
        <w:gridCol w:w="2126"/>
        <w:gridCol w:w="2016"/>
      </w:tblGrid>
      <w:tr w:rsidR="00583268" w:rsidRPr="00AB7B65" w:rsidTr="003346D9">
        <w:tc>
          <w:tcPr>
            <w:tcW w:w="2835" w:type="dxa"/>
            <w:vMerge w:val="restart"/>
          </w:tcPr>
          <w:p w:rsidR="00583268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83268" w:rsidRDefault="00583268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583268" w:rsidRPr="00AB7B65" w:rsidRDefault="00583268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69" w:type="dxa"/>
            <w:gridSpan w:val="3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583268" w:rsidRPr="00AB7B65" w:rsidTr="003346D9">
        <w:tc>
          <w:tcPr>
            <w:tcW w:w="2835" w:type="dxa"/>
            <w:vMerge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583268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Toxická pro reprodukci</w:t>
            </w:r>
          </w:p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1A</w:t>
            </w:r>
          </w:p>
        </w:tc>
        <w:tc>
          <w:tcPr>
            <w:tcW w:w="2126" w:type="dxa"/>
          </w:tcPr>
          <w:p w:rsidR="00583268" w:rsidRDefault="00583268" w:rsidP="005832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Toxická pro reprodukci</w:t>
            </w:r>
          </w:p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1B</w:t>
            </w:r>
          </w:p>
        </w:tc>
        <w:tc>
          <w:tcPr>
            <w:tcW w:w="2016" w:type="dxa"/>
          </w:tcPr>
          <w:p w:rsidR="00583268" w:rsidRDefault="00583268" w:rsidP="005832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Toxická pro reprodukci</w:t>
            </w:r>
          </w:p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583268" w:rsidRPr="00AB7B65" w:rsidTr="003346D9">
        <w:tc>
          <w:tcPr>
            <w:tcW w:w="2835" w:type="dxa"/>
          </w:tcPr>
          <w:p w:rsidR="00583268" w:rsidRPr="00583268" w:rsidRDefault="00583268" w:rsidP="00583268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>Toxická pro reprodukci</w:t>
            </w:r>
          </w:p>
          <w:p w:rsidR="00583268" w:rsidRPr="00E560D3" w:rsidRDefault="00583268" w:rsidP="003346D9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1A</w:t>
            </w:r>
          </w:p>
        </w:tc>
        <w:tc>
          <w:tcPr>
            <w:tcW w:w="2127" w:type="dxa"/>
            <w:vAlign w:val="center"/>
          </w:tcPr>
          <w:p w:rsidR="00583268" w:rsidRPr="00AB7B65" w:rsidRDefault="00583268" w:rsidP="00583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0,3 %</w:t>
            </w:r>
          </w:p>
        </w:tc>
        <w:tc>
          <w:tcPr>
            <w:tcW w:w="2126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3268" w:rsidRPr="00AB7B65" w:rsidTr="003346D9">
        <w:tc>
          <w:tcPr>
            <w:tcW w:w="2835" w:type="dxa"/>
          </w:tcPr>
          <w:p w:rsidR="00583268" w:rsidRPr="00583268" w:rsidRDefault="00583268" w:rsidP="00583268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>Toxická pro reprodukci</w:t>
            </w:r>
          </w:p>
          <w:p w:rsidR="00583268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1B</w:t>
            </w:r>
          </w:p>
        </w:tc>
        <w:tc>
          <w:tcPr>
            <w:tcW w:w="2127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583268" w:rsidRPr="00AB7B65" w:rsidRDefault="00583268" w:rsidP="00583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0,3 %</w:t>
            </w:r>
          </w:p>
        </w:tc>
        <w:tc>
          <w:tcPr>
            <w:tcW w:w="2016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3268" w:rsidRPr="00AB7B65" w:rsidTr="003346D9">
        <w:tc>
          <w:tcPr>
            <w:tcW w:w="2835" w:type="dxa"/>
          </w:tcPr>
          <w:p w:rsidR="00583268" w:rsidRPr="00583268" w:rsidRDefault="00583268" w:rsidP="00583268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>Toxická pro reprodukci</w:t>
            </w:r>
          </w:p>
          <w:p w:rsidR="00583268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2</w:t>
            </w:r>
          </w:p>
        </w:tc>
        <w:tc>
          <w:tcPr>
            <w:tcW w:w="2127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583268" w:rsidRPr="00AB7B65" w:rsidRDefault="00583268" w:rsidP="00583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3,0 %</w:t>
            </w:r>
          </w:p>
        </w:tc>
      </w:tr>
    </w:tbl>
    <w:p w:rsidR="00583268" w:rsidRPr="00956783" w:rsidRDefault="00583268" w:rsidP="0058326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3268" w:rsidRPr="00583268" w:rsidRDefault="00373C40" w:rsidP="00583268">
      <w:pPr>
        <w:rPr>
          <w:rFonts w:ascii="Times New Roman" w:hAnsi="Times New Roman" w:cs="Times New Roman"/>
          <w:sz w:val="24"/>
          <w:szCs w:val="24"/>
        </w:rPr>
      </w:pPr>
      <w:r w:rsidRPr="00373C40">
        <w:rPr>
          <w:rFonts w:ascii="Times New Roman" w:hAnsi="Times New Roman" w:cs="Times New Roman"/>
          <w:b/>
          <w:sz w:val="24"/>
          <w:szCs w:val="24"/>
        </w:rPr>
        <w:t>Dodatečná kategorie pro účinky na laktaci</w:t>
      </w:r>
      <w:r>
        <w:rPr>
          <w:rFonts w:ascii="Times New Roman" w:hAnsi="Times New Roman" w:cs="Times New Roman"/>
          <w:b/>
          <w:sz w:val="24"/>
          <w:szCs w:val="24"/>
        </w:rPr>
        <w:t xml:space="preserve"> nebo prostřednictvím laktace</w:t>
      </w:r>
      <w:r w:rsidR="005832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6269"/>
      </w:tblGrid>
      <w:tr w:rsidR="00583268" w:rsidRPr="00AB7B65" w:rsidTr="003346D9">
        <w:tc>
          <w:tcPr>
            <w:tcW w:w="2835" w:type="dxa"/>
          </w:tcPr>
          <w:p w:rsidR="00583268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83268" w:rsidRDefault="00583268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583268" w:rsidRPr="00AB7B65" w:rsidRDefault="00583268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69" w:type="dxa"/>
          </w:tcPr>
          <w:p w:rsidR="00373C40" w:rsidRDefault="00373C40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83268" w:rsidRPr="00AB7B65" w:rsidRDefault="00373C40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40">
              <w:rPr>
                <w:rFonts w:ascii="Times New Roman" w:hAnsi="Times New Roman" w:cs="Times New Roman"/>
                <w:b/>
                <w:sz w:val="24"/>
                <w:szCs w:val="24"/>
              </w:rPr>
              <w:t>Dodatečná kategorie pro účinky na laktaci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nebo prostřednictvím laktace</w:t>
            </w:r>
          </w:p>
        </w:tc>
      </w:tr>
      <w:tr w:rsidR="00373C40" w:rsidRPr="00AB7B65" w:rsidTr="003346D9">
        <w:trPr>
          <w:trHeight w:val="828"/>
        </w:trPr>
        <w:tc>
          <w:tcPr>
            <w:tcW w:w="2835" w:type="dxa"/>
          </w:tcPr>
          <w:p w:rsidR="00373C40" w:rsidRPr="00373C40" w:rsidRDefault="00373C40" w:rsidP="003346D9">
            <w:pPr>
              <w:rPr>
                <w:rFonts w:ascii="Times New Roman" w:hAnsi="Times New Roman" w:cs="Times New Roman"/>
              </w:rPr>
            </w:pPr>
            <w:r w:rsidRPr="00373C40">
              <w:rPr>
                <w:rFonts w:ascii="Times New Roman" w:hAnsi="Times New Roman" w:cs="Times New Roman"/>
                <w:sz w:val="24"/>
                <w:szCs w:val="24"/>
              </w:rPr>
              <w:t>Dodatečná kategorie pro účinky na laktaci nebo prostřednictvím laktace</w:t>
            </w:r>
          </w:p>
        </w:tc>
        <w:tc>
          <w:tcPr>
            <w:tcW w:w="6269" w:type="dxa"/>
            <w:vAlign w:val="center"/>
          </w:tcPr>
          <w:p w:rsidR="00373C40" w:rsidRPr="00AB7B65" w:rsidRDefault="00373C40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0,3 %</w:t>
            </w:r>
          </w:p>
        </w:tc>
      </w:tr>
    </w:tbl>
    <w:p w:rsidR="00583268" w:rsidRPr="00956783" w:rsidRDefault="00583268" w:rsidP="0058326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F6CCD" w:rsidRDefault="002F6CCD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>oxicita pro specifické cílové orgány – jednorázová expozice</w:t>
      </w:r>
    </w:p>
    <w:p w:rsidR="00274DCB" w:rsidRPr="00583268" w:rsidRDefault="00274DCB" w:rsidP="00274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koncentrační limity složek směsi klasifikovaných jako toxické pro specifické cílové orgány, které vedou k zařazení směsi do kategorie 1 nebo 2.</w:t>
      </w:r>
    </w:p>
    <w:tbl>
      <w:tblPr>
        <w:tblStyle w:val="Mkatabulky"/>
        <w:tblW w:w="0" w:type="auto"/>
        <w:tblInd w:w="108" w:type="dxa"/>
        <w:tblLook w:val="04A0"/>
      </w:tblPr>
      <w:tblGrid>
        <w:gridCol w:w="3544"/>
        <w:gridCol w:w="2835"/>
        <w:gridCol w:w="2725"/>
      </w:tblGrid>
      <w:tr w:rsidR="00274DCB" w:rsidRPr="00AB7B65" w:rsidTr="00274DCB">
        <w:tc>
          <w:tcPr>
            <w:tcW w:w="3544" w:type="dxa"/>
            <w:vMerge w:val="restart"/>
          </w:tcPr>
          <w:p w:rsidR="00274DCB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74DCB" w:rsidRDefault="00274DCB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274DCB" w:rsidRPr="00AB7B65" w:rsidRDefault="00274DCB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0" w:type="dxa"/>
            <w:gridSpan w:val="2"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274DCB" w:rsidRPr="00AB7B65" w:rsidTr="00274DCB">
        <w:tc>
          <w:tcPr>
            <w:tcW w:w="3544" w:type="dxa"/>
            <w:vMerge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274DCB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SE</w:t>
            </w:r>
          </w:p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</w:t>
            </w:r>
          </w:p>
        </w:tc>
        <w:tc>
          <w:tcPr>
            <w:tcW w:w="2725" w:type="dxa"/>
          </w:tcPr>
          <w:p w:rsidR="00274DCB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SE</w:t>
            </w:r>
          </w:p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274DCB" w:rsidRPr="00AB7B65" w:rsidTr="00274DCB">
        <w:tc>
          <w:tcPr>
            <w:tcW w:w="3544" w:type="dxa"/>
          </w:tcPr>
          <w:p w:rsidR="00274DCB" w:rsidRPr="00583268" w:rsidRDefault="00274DCB" w:rsidP="003346D9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jednorázová expozice (STOT SE)</w:t>
            </w:r>
          </w:p>
          <w:p w:rsidR="00274DCB" w:rsidRPr="00E560D3" w:rsidRDefault="00274DCB" w:rsidP="003346D9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2835" w:type="dxa"/>
            <w:vAlign w:val="center"/>
          </w:tcPr>
          <w:p w:rsidR="00274DCB" w:rsidRPr="00AB7B65" w:rsidRDefault="00274DCB" w:rsidP="00274D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10 %</w:t>
            </w:r>
          </w:p>
        </w:tc>
        <w:tc>
          <w:tcPr>
            <w:tcW w:w="2725" w:type="dxa"/>
            <w:vAlign w:val="center"/>
          </w:tcPr>
          <w:p w:rsidR="00274DCB" w:rsidRPr="00AB7B65" w:rsidRDefault="00274DCB" w:rsidP="00274D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 </w:t>
            </w:r>
            <w:r>
              <w:rPr>
                <w:rFonts w:ascii="Times New Roman" w:hAnsi="Times New Roman" w:cs="Times New Roman"/>
              </w:rPr>
              <w:sym w:font="Symbol" w:char="F0A3"/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konc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sym w:font="Symbol" w:char="F03C"/>
            </w:r>
            <w:r>
              <w:rPr>
                <w:rFonts w:ascii="Times New Roman" w:hAnsi="Times New Roman" w:cs="Times New Roman"/>
              </w:rPr>
              <w:t xml:space="preserve"> 10 %</w:t>
            </w:r>
          </w:p>
        </w:tc>
      </w:tr>
      <w:tr w:rsidR="00274DCB" w:rsidRPr="00AB7B65" w:rsidTr="00274DCB">
        <w:tc>
          <w:tcPr>
            <w:tcW w:w="3544" w:type="dxa"/>
          </w:tcPr>
          <w:p w:rsidR="00274DCB" w:rsidRPr="00583268" w:rsidRDefault="00274DCB" w:rsidP="00274DCB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jednorázová expozice (STOT SE)</w:t>
            </w:r>
          </w:p>
          <w:p w:rsidR="00274DCB" w:rsidRPr="00E560D3" w:rsidRDefault="00274DCB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2</w:t>
            </w:r>
          </w:p>
        </w:tc>
        <w:tc>
          <w:tcPr>
            <w:tcW w:w="2835" w:type="dxa"/>
            <w:vAlign w:val="center"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5" w:type="dxa"/>
            <w:vAlign w:val="center"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10 %</w:t>
            </w:r>
          </w:p>
        </w:tc>
      </w:tr>
    </w:tbl>
    <w:p w:rsidR="00274DCB" w:rsidRDefault="00274DC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74DCB" w:rsidRPr="00274DCB" w:rsidRDefault="00274DCB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74DCB">
        <w:rPr>
          <w:rFonts w:ascii="Times New Roman" w:hAnsi="Times New Roman" w:cs="Times New Roman"/>
          <w:sz w:val="24"/>
          <w:szCs w:val="24"/>
        </w:rPr>
        <w:t xml:space="preserve">Obecné koncentrační limity složek směsi klasifikovaných jako toxické pro specifické cílové orgány, které vedou k zařazení směsi do kategorie 3. </w:t>
      </w:r>
    </w:p>
    <w:p w:rsidR="00274DCB" w:rsidRDefault="00274DCB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74DCB">
        <w:rPr>
          <w:rFonts w:ascii="Times New Roman" w:hAnsi="Times New Roman" w:cs="Times New Roman"/>
          <w:sz w:val="24"/>
          <w:szCs w:val="24"/>
        </w:rPr>
        <w:t>(</w:t>
      </w:r>
      <w:r w:rsidRPr="00274DCB">
        <w:rPr>
          <w:rFonts w:ascii="Times New Roman" w:hAnsi="Times New Roman" w:cs="Times New Roman"/>
          <w:b/>
          <w:sz w:val="24"/>
          <w:szCs w:val="24"/>
        </w:rPr>
        <w:t>Pozor, aditivní vlastnost koncentrace složek se sčítají</w:t>
      </w:r>
      <w:r w:rsidRPr="00274DCB">
        <w:rPr>
          <w:rFonts w:ascii="Times New Roman" w:hAnsi="Times New Roman" w:cs="Times New Roman"/>
          <w:sz w:val="24"/>
          <w:szCs w:val="24"/>
        </w:rPr>
        <w:t>)</w:t>
      </w:r>
    </w:p>
    <w:p w:rsidR="00274DCB" w:rsidRPr="00274DCB" w:rsidRDefault="00274DCB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74DCB" w:rsidRDefault="00274DCB" w:rsidP="00274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Týká věty H336 (Může způsobit ospalost a závratě)</w:t>
      </w:r>
    </w:p>
    <w:p w:rsidR="00274DCB" w:rsidRPr="00274DCB" w:rsidRDefault="00274DCB" w:rsidP="00274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H335 </w:t>
      </w:r>
      <w:r w:rsidRPr="00274DCB">
        <w:rPr>
          <w:rFonts w:ascii="Times New Roman" w:hAnsi="Times New Roman" w:cs="Times New Roman"/>
          <w:sz w:val="24"/>
          <w:szCs w:val="24"/>
        </w:rPr>
        <w:t>(</w:t>
      </w:r>
      <w:r w:rsidRPr="00274DCB">
        <w:rPr>
          <w:rFonts w:ascii="Times New Roman" w:eastAsia="Calibri" w:hAnsi="Times New Roman" w:cs="Times New Roman"/>
          <w:sz w:val="24"/>
          <w:szCs w:val="24"/>
        </w:rPr>
        <w:t>Může způsobit podráždění dýchacích cest</w:t>
      </w:r>
      <w:r w:rsidRPr="00274DC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Mkatabulky"/>
        <w:tblW w:w="0" w:type="auto"/>
        <w:tblInd w:w="108" w:type="dxa"/>
        <w:tblLook w:val="04A0"/>
      </w:tblPr>
      <w:tblGrid>
        <w:gridCol w:w="3544"/>
        <w:gridCol w:w="5560"/>
      </w:tblGrid>
      <w:tr w:rsidR="00274DCB" w:rsidRPr="00AB7B65" w:rsidTr="003346D9">
        <w:tc>
          <w:tcPr>
            <w:tcW w:w="3544" w:type="dxa"/>
            <w:vMerge w:val="restart"/>
          </w:tcPr>
          <w:p w:rsidR="00274DCB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74DCB" w:rsidRDefault="00274DCB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274DCB" w:rsidRPr="00AB7B65" w:rsidRDefault="00274DCB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0" w:type="dxa"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2F2A3A" w:rsidRPr="00AB7B65" w:rsidTr="003346D9">
        <w:tc>
          <w:tcPr>
            <w:tcW w:w="3544" w:type="dxa"/>
            <w:vMerge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0" w:type="dxa"/>
          </w:tcPr>
          <w:p w:rsidR="002F2A3A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SE</w:t>
            </w:r>
          </w:p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3, věta H336 nebo H335</w:t>
            </w:r>
          </w:p>
        </w:tc>
      </w:tr>
      <w:tr w:rsidR="002F2A3A" w:rsidRPr="00AB7B65" w:rsidTr="003346D9">
        <w:tc>
          <w:tcPr>
            <w:tcW w:w="3544" w:type="dxa"/>
          </w:tcPr>
          <w:p w:rsidR="002F2A3A" w:rsidRPr="00583268" w:rsidRDefault="002F2A3A" w:rsidP="003346D9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jednorázová expozice (STOT SE 3)</w:t>
            </w:r>
          </w:p>
          <w:p w:rsidR="002F2A3A" w:rsidRPr="00E560D3" w:rsidRDefault="002F2A3A" w:rsidP="002F2A3A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 xml:space="preserve">Kategorie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60" w:type="dxa"/>
            <w:vAlign w:val="center"/>
          </w:tcPr>
          <w:p w:rsidR="002F2A3A" w:rsidRPr="00AB7B65" w:rsidRDefault="002F2A3A" w:rsidP="002F2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20 %</w:t>
            </w:r>
          </w:p>
        </w:tc>
      </w:tr>
    </w:tbl>
    <w:p w:rsidR="00274DCB" w:rsidRPr="00956783" w:rsidRDefault="00274DC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05485" w:rsidRPr="00956783" w:rsidRDefault="00605485" w:rsidP="0060548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>oxicita pro specifické cílové orgány – opakovaná expozice</w:t>
      </w:r>
    </w:p>
    <w:p w:rsidR="002F2A3A" w:rsidRPr="00583268" w:rsidRDefault="002F2A3A" w:rsidP="002F2A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koncentrační limity složek směsi klasifikovaných jako toxické pro specifické cílové orgány, které vedou k zařazení směsi do kategorie 1 nebo 2.</w:t>
      </w:r>
    </w:p>
    <w:tbl>
      <w:tblPr>
        <w:tblStyle w:val="Mkatabulky"/>
        <w:tblW w:w="0" w:type="auto"/>
        <w:tblInd w:w="108" w:type="dxa"/>
        <w:tblLook w:val="04A0"/>
      </w:tblPr>
      <w:tblGrid>
        <w:gridCol w:w="3544"/>
        <w:gridCol w:w="2835"/>
        <w:gridCol w:w="2725"/>
      </w:tblGrid>
      <w:tr w:rsidR="002F2A3A" w:rsidRPr="00AB7B65" w:rsidTr="003346D9">
        <w:tc>
          <w:tcPr>
            <w:tcW w:w="3544" w:type="dxa"/>
            <w:vMerge w:val="restart"/>
          </w:tcPr>
          <w:p w:rsidR="002F2A3A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F2A3A" w:rsidRDefault="002F2A3A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2F2A3A" w:rsidRPr="00AB7B65" w:rsidRDefault="002F2A3A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0" w:type="dxa"/>
            <w:gridSpan w:val="2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2F2A3A" w:rsidRPr="00AB7B65" w:rsidTr="003346D9">
        <w:tc>
          <w:tcPr>
            <w:tcW w:w="3544" w:type="dxa"/>
            <w:vMerge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2F2A3A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RE</w:t>
            </w:r>
          </w:p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</w:t>
            </w:r>
          </w:p>
        </w:tc>
        <w:tc>
          <w:tcPr>
            <w:tcW w:w="2725" w:type="dxa"/>
          </w:tcPr>
          <w:p w:rsidR="002F2A3A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RE</w:t>
            </w:r>
          </w:p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2F2A3A" w:rsidRPr="00AB7B65" w:rsidTr="003346D9">
        <w:tc>
          <w:tcPr>
            <w:tcW w:w="3544" w:type="dxa"/>
          </w:tcPr>
          <w:p w:rsidR="002F2A3A" w:rsidRPr="00583268" w:rsidRDefault="002F2A3A" w:rsidP="003346D9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opakovaná expozice (STOT RE)</w:t>
            </w:r>
          </w:p>
          <w:p w:rsidR="002F2A3A" w:rsidRPr="00E560D3" w:rsidRDefault="002F2A3A" w:rsidP="003346D9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2835" w:type="dxa"/>
            <w:vAlign w:val="center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10 %</w:t>
            </w:r>
          </w:p>
        </w:tc>
        <w:tc>
          <w:tcPr>
            <w:tcW w:w="2725" w:type="dxa"/>
            <w:vAlign w:val="center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 </w:t>
            </w:r>
            <w:r>
              <w:rPr>
                <w:rFonts w:ascii="Times New Roman" w:hAnsi="Times New Roman" w:cs="Times New Roman"/>
              </w:rPr>
              <w:sym w:font="Symbol" w:char="F0A3"/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konc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sym w:font="Symbol" w:char="F03C"/>
            </w:r>
            <w:r>
              <w:rPr>
                <w:rFonts w:ascii="Times New Roman" w:hAnsi="Times New Roman" w:cs="Times New Roman"/>
              </w:rPr>
              <w:t xml:space="preserve"> 10 %</w:t>
            </w:r>
          </w:p>
        </w:tc>
      </w:tr>
      <w:tr w:rsidR="002F2A3A" w:rsidRPr="00AB7B65" w:rsidTr="003346D9">
        <w:tc>
          <w:tcPr>
            <w:tcW w:w="3544" w:type="dxa"/>
          </w:tcPr>
          <w:p w:rsidR="002F2A3A" w:rsidRPr="00583268" w:rsidRDefault="002F2A3A" w:rsidP="003346D9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opakovaná expozice (STOT RE)</w:t>
            </w:r>
          </w:p>
          <w:p w:rsidR="002F2A3A" w:rsidRPr="00E560D3" w:rsidRDefault="002F2A3A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2</w:t>
            </w:r>
          </w:p>
        </w:tc>
        <w:tc>
          <w:tcPr>
            <w:tcW w:w="2835" w:type="dxa"/>
            <w:vAlign w:val="center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5" w:type="dxa"/>
            <w:vAlign w:val="center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10 %</w:t>
            </w:r>
          </w:p>
        </w:tc>
      </w:tr>
    </w:tbl>
    <w:p w:rsidR="00605485" w:rsidRDefault="00605485" w:rsidP="00605485">
      <w:pPr>
        <w:rPr>
          <w:rFonts w:ascii="Times New Roman" w:hAnsi="Times New Roman" w:cs="Times New Roman"/>
          <w:b/>
          <w:sz w:val="24"/>
          <w:szCs w:val="24"/>
        </w:rPr>
      </w:pPr>
    </w:p>
    <w:p w:rsidR="00F11D28" w:rsidRDefault="00F11D28" w:rsidP="00F11D28">
      <w:pPr>
        <w:pStyle w:val="CM1"/>
        <w:spacing w:before="200" w:after="200"/>
        <w:rPr>
          <w:b/>
          <w:noProof/>
          <w:u w:val="single"/>
          <w:lang w:eastAsia="cs-CZ"/>
        </w:rPr>
      </w:pPr>
    </w:p>
    <w:p w:rsidR="00F11D28" w:rsidRDefault="002F2A3A" w:rsidP="00F11D28">
      <w:pPr>
        <w:pStyle w:val="CM1"/>
        <w:spacing w:before="200" w:after="200"/>
        <w:rPr>
          <w:color w:val="000000"/>
        </w:rPr>
      </w:pPr>
      <w:r>
        <w:rPr>
          <w:b/>
          <w:noProof/>
          <w:u w:val="single"/>
          <w:lang w:eastAsia="cs-CZ"/>
        </w:rPr>
        <w:t xml:space="preserve">Třída </w:t>
      </w:r>
      <w:r w:rsidR="00F11D28">
        <w:rPr>
          <w:b/>
          <w:noProof/>
          <w:u w:val="single"/>
          <w:lang w:eastAsia="cs-CZ"/>
        </w:rPr>
        <w:t>nebezpečnost při vdechnutí</w:t>
      </w:r>
    </w:p>
    <w:p w:rsidR="00F11D28" w:rsidRPr="00F11D28" w:rsidRDefault="00F11D28" w:rsidP="00F11D2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11D28">
        <w:rPr>
          <w:rFonts w:ascii="Times New Roman" w:hAnsi="Times New Roman" w:cs="Times New Roman"/>
          <w:sz w:val="24"/>
          <w:szCs w:val="24"/>
          <w:u w:val="single"/>
        </w:rPr>
        <w:t>Několik důležitých připomínek</w:t>
      </w:r>
      <w:r w:rsidRPr="00F11D28">
        <w:rPr>
          <w:rFonts w:ascii="Times New Roman" w:hAnsi="Times New Roman" w:cs="Times New Roman"/>
          <w:sz w:val="24"/>
          <w:szCs w:val="24"/>
        </w:rPr>
        <w:t>:</w:t>
      </w:r>
    </w:p>
    <w:p w:rsidR="00F11D28" w:rsidRDefault="00F11D28" w:rsidP="00F11D28">
      <w:pPr>
        <w:pStyle w:val="Bezmez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Týká se </w:t>
      </w:r>
      <w:r w:rsidRPr="00F11D28">
        <w:rPr>
          <w:rFonts w:ascii="Times New Roman" w:hAnsi="Times New Roman" w:cs="Times New Roman"/>
          <w:b/>
          <w:color w:val="000000"/>
          <w:sz w:val="24"/>
          <w:szCs w:val="24"/>
        </w:rPr>
        <w:t>pouze kapalin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11D28" w:rsidRPr="00F11D28" w:rsidRDefault="00F11D28" w:rsidP="00F11D28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Neklasifikuje se ani neznačí u aerosolů v tlakových nádobách, u aerosolů s mechanickým rozprašovačem je nutné zvážit, nakolik je aerosol jemný a zda ho lze požít.</w:t>
      </w:r>
    </w:p>
    <w:p w:rsidR="00F11D28" w:rsidRDefault="00F11D28" w:rsidP="00F11D28">
      <w:pPr>
        <w:pStyle w:val="CM3"/>
        <w:spacing w:before="60" w:after="60"/>
        <w:rPr>
          <w:color w:val="000000"/>
        </w:rPr>
      </w:pPr>
      <w:r w:rsidRPr="00F11D28">
        <w:rPr>
          <w:color w:val="000000"/>
        </w:rPr>
        <w:t>Kritéria klasifikace se vztahují na kinematickou viskozitu</w:t>
      </w:r>
      <w:r>
        <w:rPr>
          <w:color w:val="000000"/>
        </w:rPr>
        <w:t xml:space="preserve"> (v </w:t>
      </w:r>
      <w:r w:rsidR="00F109FF">
        <w:rPr>
          <w:color w:val="000000"/>
        </w:rPr>
        <w:t>nařízení ES 1272/2008 je</w:t>
      </w:r>
      <w:r>
        <w:rPr>
          <w:color w:val="000000"/>
        </w:rPr>
        <w:t xml:space="preserve"> uveden vzorec převodu z dynamické viskozity na kinematickou).</w:t>
      </w:r>
    </w:p>
    <w:p w:rsidR="00F11D28" w:rsidRPr="00F11D28" w:rsidRDefault="00F11D28" w:rsidP="00F11D28">
      <w:pPr>
        <w:pStyle w:val="Bezmezer"/>
        <w:rPr>
          <w:rFonts w:ascii="Times New Roman" w:hAnsi="Times New Roman" w:cs="Times New Roman"/>
          <w:color w:val="000000"/>
          <w:sz w:val="24"/>
          <w:szCs w:val="24"/>
        </w:rPr>
      </w:pPr>
      <w:r w:rsidRPr="00F11D28">
        <w:rPr>
          <w:rFonts w:ascii="Times New Roman" w:hAnsi="Times New Roman" w:cs="Times New Roman"/>
          <w:sz w:val="24"/>
          <w:szCs w:val="24"/>
        </w:rPr>
        <w:t xml:space="preserve">Látky, </w:t>
      </w:r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o nichž je známo, že u člověka vyvolávají nebezpečí toxicity při vdechnutí, nebo na něž je nutno pohlížet, jako kdyby u člověka </w:t>
      </w:r>
      <w:proofErr w:type="gramStart"/>
      <w:r w:rsidRPr="00F11D28">
        <w:rPr>
          <w:rFonts w:ascii="Times New Roman" w:hAnsi="Times New Roman" w:cs="Times New Roman"/>
          <w:color w:val="000000"/>
          <w:sz w:val="24"/>
          <w:szCs w:val="24"/>
        </w:rPr>
        <w:t>vyvolávaly</w:t>
      </w:r>
      <w:proofErr w:type="gramEnd"/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 nebezpečí toxicity při vdechnutí se </w:t>
      </w:r>
      <w:proofErr w:type="gramStart"/>
      <w:r w:rsidRPr="00F11D28">
        <w:rPr>
          <w:rFonts w:ascii="Times New Roman" w:hAnsi="Times New Roman" w:cs="Times New Roman"/>
          <w:color w:val="000000"/>
          <w:sz w:val="24"/>
          <w:szCs w:val="24"/>
        </w:rPr>
        <w:t>zařadí</w:t>
      </w:r>
      <w:proofErr w:type="gramEnd"/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 do kategorie 1 </w:t>
      </w:r>
    </w:p>
    <w:p w:rsidR="00F11D28" w:rsidRPr="00F11D28" w:rsidRDefault="00F11D28" w:rsidP="00F11D28">
      <w:pPr>
        <w:pStyle w:val="Bezmezer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na základě spolehlivých a kvalitních důkazů u člověka nebo </w:t>
      </w:r>
    </w:p>
    <w:p w:rsidR="002F2A3A" w:rsidRPr="00F11D28" w:rsidRDefault="00F11D28" w:rsidP="00F11D28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jedná-li se o uhlovodík s kinematickou viskozitou 20,5 mm 2 </w:t>
      </w:r>
      <w:r>
        <w:rPr>
          <w:rFonts w:ascii="Times New Roman" w:hAnsi="Times New Roman" w:cs="Times New Roman"/>
          <w:color w:val="000000"/>
          <w:sz w:val="24"/>
          <w:szCs w:val="24"/>
        </w:rPr>
        <w:t>/s nebo nižší, měřeno při 40</w:t>
      </w:r>
      <w:r w:rsidRPr="00F11D2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o</w:t>
      </w:r>
      <w:r w:rsidRPr="00F11D28">
        <w:rPr>
          <w:rFonts w:ascii="Times New Roman" w:hAnsi="Times New Roman" w:cs="Times New Roman"/>
          <w:color w:val="000000"/>
          <w:sz w:val="24"/>
          <w:szCs w:val="24"/>
        </w:rPr>
        <w:t>C.</w:t>
      </w:r>
    </w:p>
    <w:p w:rsidR="002F2A3A" w:rsidRPr="00F109FF" w:rsidRDefault="00F11D28" w:rsidP="00F11D28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Látkami kategorie 1 jsou </w:t>
      </w:r>
      <w:r w:rsidR="00F109FF" w:rsidRPr="00F109FF">
        <w:rPr>
          <w:rFonts w:ascii="Times New Roman" w:hAnsi="Times New Roman" w:cs="Times New Roman"/>
          <w:color w:val="000000"/>
          <w:sz w:val="24"/>
          <w:szCs w:val="24"/>
        </w:rPr>
        <w:t>např</w:t>
      </w:r>
      <w:r w:rsidR="00F109F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 některé uhlovodíky, terpentýn a borová silice.</w:t>
      </w:r>
    </w:p>
    <w:p w:rsidR="002F2A3A" w:rsidRPr="00F109FF" w:rsidRDefault="00F109FF" w:rsidP="00F109FF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Směs, která obsahuje celkem </w:t>
      </w:r>
      <w:r w:rsidRPr="00F109FF">
        <w:rPr>
          <w:rFonts w:ascii="Times New Roman" w:hAnsi="Times New Roman" w:cs="Times New Roman"/>
          <w:b/>
          <w:color w:val="000000"/>
          <w:sz w:val="24"/>
          <w:szCs w:val="24"/>
        </w:rPr>
        <w:t>10 %</w:t>
      </w: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 nebo více látky nebo látek zařazených do kategorie 1 a má kinem</w:t>
      </w:r>
      <w:r>
        <w:rPr>
          <w:rFonts w:ascii="Times New Roman" w:hAnsi="Times New Roman" w:cs="Times New Roman"/>
          <w:color w:val="000000"/>
          <w:sz w:val="24"/>
          <w:szCs w:val="24"/>
        </w:rPr>
        <w:t>atickou viskozitu 20,5 mm /s ne</w:t>
      </w: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bo nižší, měřeno při 40 </w:t>
      </w:r>
      <w:proofErr w:type="spellStart"/>
      <w:r w:rsidRPr="00F109F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o</w:t>
      </w:r>
      <w:r w:rsidRPr="00F109FF">
        <w:rPr>
          <w:rFonts w:ascii="Times New Roman" w:hAnsi="Times New Roman" w:cs="Times New Roman"/>
          <w:color w:val="000000"/>
          <w:sz w:val="24"/>
          <w:szCs w:val="24"/>
        </w:rPr>
        <w:t>C</w:t>
      </w:r>
      <w:proofErr w:type="spellEnd"/>
      <w:r w:rsidRPr="00F109FF">
        <w:rPr>
          <w:rFonts w:ascii="Times New Roman" w:hAnsi="Times New Roman" w:cs="Times New Roman"/>
          <w:color w:val="000000"/>
          <w:sz w:val="24"/>
          <w:szCs w:val="24"/>
        </w:rPr>
        <w:t>, se zařadí do kategorie 1.</w:t>
      </w:r>
    </w:p>
    <w:p w:rsidR="002F2A3A" w:rsidRPr="00F109FF" w:rsidRDefault="00F109FF" w:rsidP="00605485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F109FF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(Další podrobnosti a úvahy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jsou uvedeny </w:t>
      </w:r>
      <w:r w:rsidRPr="00F109FF">
        <w:rPr>
          <w:rFonts w:ascii="Times New Roman" w:hAnsi="Times New Roman" w:cs="Times New Roman"/>
          <w:noProof/>
          <w:sz w:val="24"/>
          <w:szCs w:val="24"/>
          <w:lang w:eastAsia="cs-CZ"/>
        </w:rPr>
        <w:t>v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 </w:t>
      </w:r>
      <w:r w:rsidRPr="00F109FF">
        <w:rPr>
          <w:rFonts w:ascii="Times New Roman" w:hAnsi="Times New Roman" w:cs="Times New Roman"/>
          <w:noProof/>
          <w:sz w:val="24"/>
          <w:szCs w:val="24"/>
          <w:lang w:eastAsia="cs-CZ"/>
        </w:rPr>
        <w:t>naříz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ení ES 1272/2008)</w:t>
      </w:r>
    </w:p>
    <w:p w:rsidR="002F2A3A" w:rsidRDefault="002F2A3A" w:rsidP="00605485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</w:p>
    <w:p w:rsidR="00F109FF" w:rsidRDefault="00F109FF" w:rsidP="00605485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</w:p>
    <w:p w:rsidR="00F109FF" w:rsidRDefault="00F109FF" w:rsidP="00605485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</w:p>
    <w:p w:rsidR="00605485" w:rsidRDefault="00F109FF" w:rsidP="00605485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lastRenderedPageBreak/>
        <w:t>Třída</w:t>
      </w:r>
      <w:r w:rsidR="00701986" w:rsidRPr="00956783"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t>n</w:t>
      </w:r>
      <w:r w:rsidR="00701986" w:rsidRPr="00956783"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t>ebezpečnost pro vodní prostředí</w:t>
      </w:r>
    </w:p>
    <w:p w:rsidR="003346D9" w:rsidRPr="003346D9" w:rsidRDefault="003346D9" w:rsidP="003346D9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3346D9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Klasifikace směsí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pro akutní nebezpečnost pro vodní prostředí na základě součtu klasifikovaných složek.</w:t>
      </w:r>
    </w:p>
    <w:p w:rsidR="003346D9" w:rsidRDefault="003346D9" w:rsidP="00605485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3346D9">
        <w:rPr>
          <w:rFonts w:ascii="Times New Roman" w:hAnsi="Times New Roman" w:cs="Times New Roman"/>
          <w:noProof/>
          <w:sz w:val="24"/>
          <w:szCs w:val="24"/>
          <w:lang w:eastAsia="cs-CZ"/>
        </w:rPr>
        <w:t>Uplaňuje se multiplikační faktor</w:t>
      </w:r>
    </w:p>
    <w:tbl>
      <w:tblPr>
        <w:tblStyle w:val="Mkatabulky"/>
        <w:tblW w:w="0" w:type="auto"/>
        <w:tblInd w:w="108" w:type="dxa"/>
        <w:tblLook w:val="04A0"/>
      </w:tblPr>
      <w:tblGrid>
        <w:gridCol w:w="5529"/>
        <w:gridCol w:w="3651"/>
      </w:tblGrid>
      <w:tr w:rsidR="003346D9" w:rsidRPr="00AB7B65" w:rsidTr="003346D9">
        <w:trPr>
          <w:trHeight w:val="759"/>
        </w:trPr>
        <w:tc>
          <w:tcPr>
            <w:tcW w:w="5529" w:type="dxa"/>
          </w:tcPr>
          <w:p w:rsidR="003346D9" w:rsidRDefault="003346D9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46D9" w:rsidRDefault="003346D9" w:rsidP="003346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Součet složek zařazených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do</w:t>
            </w:r>
            <w:proofErr w:type="gramEnd"/>
            <w:r w:rsidRPr="00AB7B65">
              <w:rPr>
                <w:rFonts w:ascii="Times New Roman" w:hAnsi="Times New Roman" w:cs="Times New Roman"/>
                <w:b/>
              </w:rPr>
              <w:t>:</w:t>
            </w:r>
          </w:p>
          <w:p w:rsidR="003346D9" w:rsidRPr="00AB7B65" w:rsidRDefault="003346D9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1" w:type="dxa"/>
          </w:tcPr>
          <w:p w:rsidR="003346D9" w:rsidRDefault="003346D9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46D9" w:rsidRPr="00AB7B65" w:rsidRDefault="003346D9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Směs se zařadí do kategorie:</w:t>
            </w:r>
          </w:p>
        </w:tc>
      </w:tr>
      <w:tr w:rsidR="003346D9" w:rsidRPr="00AB7B65" w:rsidTr="003346D9">
        <w:tc>
          <w:tcPr>
            <w:tcW w:w="5529" w:type="dxa"/>
          </w:tcPr>
          <w:p w:rsidR="003346D9" w:rsidRPr="00E560D3" w:rsidRDefault="003346D9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Acute</w:t>
            </w:r>
            <w:proofErr w:type="spellEnd"/>
            <w:r>
              <w:rPr>
                <w:rFonts w:ascii="Times New Roman" w:hAnsi="Times New Roman" w:cs="Times New Roman"/>
              </w:rPr>
              <w:t xml:space="preserve"> 1) x M  ≥ 25 %</w:t>
            </w:r>
          </w:p>
        </w:tc>
        <w:tc>
          <w:tcPr>
            <w:tcW w:w="3651" w:type="dxa"/>
            <w:vAlign w:val="center"/>
          </w:tcPr>
          <w:p w:rsidR="003346D9" w:rsidRPr="00AB7B65" w:rsidRDefault="003346D9" w:rsidP="003346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Acute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3346D9" w:rsidRPr="003346D9" w:rsidRDefault="003346D9" w:rsidP="003346D9">
      <w:pPr>
        <w:pStyle w:val="Bezmezer"/>
        <w:rPr>
          <w:rFonts w:ascii="Times New Roman" w:hAnsi="Times New Roman" w:cs="Times New Roman"/>
          <w:noProof/>
          <w:lang w:eastAsia="cs-CZ"/>
        </w:rPr>
      </w:pPr>
    </w:p>
    <w:p w:rsidR="003346D9" w:rsidRDefault="003346D9" w:rsidP="003346D9">
      <w:pPr>
        <w:pStyle w:val="Bezmezer"/>
        <w:rPr>
          <w:rFonts w:ascii="Times New Roman" w:hAnsi="Times New Roman" w:cs="Times New Roman"/>
          <w:noProof/>
          <w:lang w:eastAsia="cs-CZ"/>
        </w:rPr>
      </w:pPr>
      <w:r>
        <w:rPr>
          <w:rFonts w:ascii="Times New Roman" w:hAnsi="Times New Roman" w:cs="Times New Roman"/>
          <w:noProof/>
          <w:lang w:eastAsia="cs-CZ"/>
        </w:rPr>
        <w:t>M = multiplikační faktor</w:t>
      </w:r>
      <w:r w:rsidR="000D35ED">
        <w:rPr>
          <w:rFonts w:ascii="Times New Roman" w:hAnsi="Times New Roman" w:cs="Times New Roman"/>
          <w:noProof/>
          <w:lang w:eastAsia="cs-CZ"/>
        </w:rPr>
        <w:t xml:space="preserve">  </w:t>
      </w:r>
    </w:p>
    <w:p w:rsidR="000D35ED" w:rsidRPr="003346D9" w:rsidRDefault="000D35ED" w:rsidP="003346D9">
      <w:pPr>
        <w:pStyle w:val="Bezmezer"/>
        <w:rPr>
          <w:rFonts w:ascii="Times New Roman" w:hAnsi="Times New Roman" w:cs="Times New Roman"/>
          <w:noProof/>
          <w:lang w:eastAsia="cs-CZ"/>
        </w:rPr>
      </w:pPr>
      <w:r>
        <w:rPr>
          <w:rFonts w:ascii="Times New Roman" w:hAnsi="Times New Roman" w:cs="Times New Roman"/>
          <w:b/>
          <w:noProof/>
          <w:lang w:eastAsia="cs-CZ"/>
        </w:rPr>
        <w:t>P</w:t>
      </w:r>
      <w:r w:rsidRPr="000D35ED">
        <w:rPr>
          <w:rFonts w:ascii="Times New Roman" w:hAnsi="Times New Roman" w:cs="Times New Roman"/>
          <w:b/>
          <w:noProof/>
          <w:lang w:eastAsia="cs-CZ"/>
        </w:rPr>
        <w:t>okud není</w:t>
      </w:r>
      <w:r>
        <w:rPr>
          <w:rFonts w:ascii="Times New Roman" w:hAnsi="Times New Roman" w:cs="Times New Roman"/>
          <w:noProof/>
          <w:lang w:eastAsia="cs-CZ"/>
        </w:rPr>
        <w:t xml:space="preserve"> konkrétně uveden je u kapitoly klasifikace vodního prostředí vysvětleno jak odvodit jeho hodnotu.</w:t>
      </w:r>
    </w:p>
    <w:p w:rsidR="003346D9" w:rsidRPr="003346D9" w:rsidRDefault="003346D9" w:rsidP="003346D9">
      <w:pPr>
        <w:pStyle w:val="Bezmezer"/>
        <w:rPr>
          <w:rFonts w:ascii="Times New Roman" w:hAnsi="Times New Roman" w:cs="Times New Roman"/>
          <w:noProof/>
          <w:lang w:eastAsia="cs-CZ"/>
        </w:rPr>
      </w:pPr>
    </w:p>
    <w:p w:rsidR="003346D9" w:rsidRDefault="003346D9" w:rsidP="003346D9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Multiplikační faktor Acuatic Acute 1</w:t>
      </w:r>
    </w:p>
    <w:tbl>
      <w:tblPr>
        <w:tblW w:w="9214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5529"/>
        <w:gridCol w:w="3685"/>
      </w:tblGrid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L(E)C</w:t>
            </w: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vertAlign w:val="subscript"/>
                <w:lang w:eastAsia="cs-CZ"/>
              </w:rPr>
              <w:t xml:space="preserve">50   </w:t>
            </w: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mg/l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Multiplikační faktor  M</w:t>
            </w:r>
          </w:p>
        </w:tc>
      </w:tr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</w:t>
            </w:r>
          </w:p>
        </w:tc>
      </w:tr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</w:t>
            </w:r>
          </w:p>
        </w:tc>
      </w:tr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</w:t>
            </w:r>
          </w:p>
        </w:tc>
      </w:tr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0,001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1000</w:t>
            </w:r>
          </w:p>
        </w:tc>
      </w:tr>
      <w:tr w:rsidR="003346D9" w:rsidRPr="00956783" w:rsidTr="001B3D96">
        <w:trPr>
          <w:trHeight w:val="22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Pokračovat dále v násobcích 10</w:t>
            </w:r>
          </w:p>
        </w:tc>
      </w:tr>
    </w:tbl>
    <w:p w:rsidR="003346D9" w:rsidRDefault="003346D9" w:rsidP="003346D9">
      <w:pPr>
        <w:pStyle w:val="Bezmezer"/>
        <w:rPr>
          <w:noProof/>
          <w:lang w:eastAsia="cs-CZ"/>
        </w:rPr>
      </w:pPr>
    </w:p>
    <w:p w:rsidR="003346D9" w:rsidRPr="00956783" w:rsidRDefault="003346D9" w:rsidP="00605485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</w:p>
    <w:p w:rsidR="008C1EF6" w:rsidRDefault="008C1EF6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:rsidR="001B3D96" w:rsidRDefault="001B3D96" w:rsidP="001B3D96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Klasifikace směsí pro dlouhodobou nebezpečnost ve vodním prostředí na základě součtu koncentrací složek</w:t>
      </w:r>
    </w:p>
    <w:tbl>
      <w:tblPr>
        <w:tblStyle w:val="Mkatabulky"/>
        <w:tblW w:w="0" w:type="auto"/>
        <w:tblInd w:w="108" w:type="dxa"/>
        <w:tblLook w:val="04A0"/>
      </w:tblPr>
      <w:tblGrid>
        <w:gridCol w:w="6663"/>
        <w:gridCol w:w="2517"/>
      </w:tblGrid>
      <w:tr w:rsidR="001B3D96" w:rsidRPr="00AB7B65" w:rsidTr="001B3D96">
        <w:trPr>
          <w:trHeight w:val="759"/>
        </w:trPr>
        <w:tc>
          <w:tcPr>
            <w:tcW w:w="6663" w:type="dxa"/>
          </w:tcPr>
          <w:p w:rsidR="001B3D96" w:rsidRDefault="001B3D96" w:rsidP="003950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D96" w:rsidRDefault="001B3D96" w:rsidP="003950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Součet složek zařazených do kategorie (kategorií)</w:t>
            </w:r>
            <w:r w:rsidRPr="00AB7B65">
              <w:rPr>
                <w:rFonts w:ascii="Times New Roman" w:hAnsi="Times New Roman" w:cs="Times New Roman"/>
                <w:b/>
              </w:rPr>
              <w:t>:</w:t>
            </w:r>
          </w:p>
          <w:p w:rsidR="001B3D96" w:rsidRPr="00AB7B65" w:rsidRDefault="001B3D96" w:rsidP="003950E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7" w:type="dxa"/>
          </w:tcPr>
          <w:p w:rsidR="001B3D96" w:rsidRDefault="001B3D96" w:rsidP="003950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D96" w:rsidRPr="00AB7B65" w:rsidRDefault="001B3D96" w:rsidP="003950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Směs se zařadí do kategorie:</w:t>
            </w:r>
          </w:p>
        </w:tc>
      </w:tr>
      <w:tr w:rsidR="001B3D96" w:rsidRPr="00AB7B65" w:rsidTr="001B3D96">
        <w:tc>
          <w:tcPr>
            <w:tcW w:w="6663" w:type="dxa"/>
          </w:tcPr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1) x M  ≥ 25 %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vAlign w:val="center"/>
          </w:tcPr>
          <w:p w:rsidR="001B3D96" w:rsidRDefault="001B3D96" w:rsidP="001B3D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</w:tr>
      <w:tr w:rsidR="001B3D96" w:rsidRPr="00AB7B65" w:rsidTr="001B3D96">
        <w:tc>
          <w:tcPr>
            <w:tcW w:w="6663" w:type="dxa"/>
          </w:tcPr>
          <w:p w:rsidR="001B3D96" w:rsidRDefault="001B3D96" w:rsidP="003950E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[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1) x M  x 10 </w:t>
            </w:r>
            <w:r>
              <w:rPr>
                <w:rFonts w:ascii="Times New Roman" w:hAnsi="Times New Roman" w:cs="Times New Roman"/>
                <w:lang w:val="en-US"/>
              </w:rPr>
              <w:t xml:space="preserve">] +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2  ≥ 25 %</w:t>
            </w:r>
          </w:p>
          <w:p w:rsidR="001B3D96" w:rsidRPr="001B3D96" w:rsidRDefault="001B3D96" w:rsidP="003950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vAlign w:val="center"/>
          </w:tcPr>
          <w:p w:rsidR="001B3D96" w:rsidRDefault="001B3D96" w:rsidP="0039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1B3D96" w:rsidRPr="00AB7B65" w:rsidTr="001B3D96">
        <w:tc>
          <w:tcPr>
            <w:tcW w:w="6663" w:type="dxa"/>
          </w:tcPr>
          <w:p w:rsidR="001B3D96" w:rsidRDefault="001B3D96" w:rsidP="003950E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[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1) x M  x 100 </w:t>
            </w:r>
            <w:r>
              <w:rPr>
                <w:rFonts w:ascii="Times New Roman" w:hAnsi="Times New Roman" w:cs="Times New Roman"/>
                <w:lang w:val="en-US"/>
              </w:rPr>
              <w:t xml:space="preserve">] + [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2) x 10 </w:t>
            </w:r>
            <w:r>
              <w:rPr>
                <w:rFonts w:ascii="Times New Roman" w:hAnsi="Times New Roman" w:cs="Times New Roman"/>
                <w:lang w:val="en-US"/>
              </w:rPr>
              <w:t>]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+ 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3  ≥ 25 %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vAlign w:val="center"/>
          </w:tcPr>
          <w:p w:rsidR="001B3D96" w:rsidRDefault="001B3D96" w:rsidP="0039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</w:tc>
      </w:tr>
      <w:tr w:rsidR="001B3D96" w:rsidRPr="00AB7B65" w:rsidTr="001B3D96">
        <w:tc>
          <w:tcPr>
            <w:tcW w:w="6663" w:type="dxa"/>
          </w:tcPr>
          <w:p w:rsidR="001B3D96" w:rsidRDefault="001B3D96" w:rsidP="003950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 +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2 +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+ 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4  ≥ 25 %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vAlign w:val="center"/>
          </w:tcPr>
          <w:p w:rsidR="001B3D96" w:rsidRDefault="001B3D96" w:rsidP="0039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4</w:t>
            </w:r>
          </w:p>
        </w:tc>
      </w:tr>
    </w:tbl>
    <w:p w:rsidR="001B3D96" w:rsidRDefault="001B3D96" w:rsidP="001B3D96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:rsidR="000D35ED" w:rsidRDefault="001B3D96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1B3D96">
        <w:rPr>
          <w:rFonts w:ascii="Times New Roman" w:hAnsi="Times New Roman" w:cs="Times New Roman"/>
          <w:noProof/>
          <w:sz w:val="24"/>
          <w:szCs w:val="24"/>
          <w:lang w:eastAsia="cs-CZ"/>
        </w:rPr>
        <w:t>Pro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hAnsi="Times New Roman" w:cs="Times New Roman"/>
        </w:rPr>
        <w:t>Aquatic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Chronic</w:t>
      </w:r>
      <w:proofErr w:type="spellEnd"/>
      <w:r>
        <w:rPr>
          <w:rFonts w:ascii="Times New Roman" w:hAnsi="Times New Roman" w:cs="Times New Roman"/>
        </w:rPr>
        <w:t xml:space="preserve"> 1 se uplatňuje multiplikační faktor</w:t>
      </w:r>
      <w:r w:rsidR="000D35ED">
        <w:rPr>
          <w:rFonts w:ascii="Times New Roman" w:hAnsi="Times New Roman" w:cs="Times New Roman"/>
        </w:rPr>
        <w:t>.</w:t>
      </w:r>
    </w:p>
    <w:p w:rsidR="008C1EF6" w:rsidRPr="000D35ED" w:rsidRDefault="000D35ED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0D35ED">
        <w:rPr>
          <w:rFonts w:ascii="Times New Roman" w:hAnsi="Times New Roman" w:cs="Times New Roman"/>
          <w:noProof/>
          <w:sz w:val="24"/>
          <w:szCs w:val="24"/>
          <w:lang w:eastAsia="cs-CZ"/>
        </w:rPr>
        <w:lastRenderedPageBreak/>
        <w:t>Pokud jsou pro Aquatic Chronic 1 k dispozici pouze hodnoty krátkodobé vodní toxicity odvodí se M podle této tabulky:</w:t>
      </w:r>
    </w:p>
    <w:tbl>
      <w:tblPr>
        <w:tblW w:w="9214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5529"/>
        <w:gridCol w:w="3685"/>
      </w:tblGrid>
      <w:tr w:rsidR="000D35ED" w:rsidRPr="00956783" w:rsidTr="003950E2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L(E)C</w:t>
            </w: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vertAlign w:val="subscript"/>
                <w:lang w:eastAsia="cs-CZ"/>
              </w:rPr>
              <w:t xml:space="preserve">50   </w:t>
            </w: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mg/l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Multiplikační faktor  M</w:t>
            </w:r>
          </w:p>
        </w:tc>
      </w:tr>
      <w:tr w:rsidR="000D35ED" w:rsidRPr="00956783" w:rsidTr="003950E2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</w:t>
            </w:r>
          </w:p>
        </w:tc>
      </w:tr>
      <w:tr w:rsidR="000D35ED" w:rsidRPr="00956783" w:rsidTr="003950E2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</w:t>
            </w:r>
          </w:p>
        </w:tc>
      </w:tr>
      <w:tr w:rsidR="000D35ED" w:rsidRPr="00956783" w:rsidTr="003950E2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</w:t>
            </w:r>
          </w:p>
        </w:tc>
      </w:tr>
      <w:tr w:rsidR="000D35ED" w:rsidRPr="00956783" w:rsidTr="003950E2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0,001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1000</w:t>
            </w:r>
          </w:p>
        </w:tc>
      </w:tr>
      <w:tr w:rsidR="000D35ED" w:rsidRPr="00956783" w:rsidTr="003950E2">
        <w:trPr>
          <w:trHeight w:val="22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3950E2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Pokračovat dále v násobcích 10</w:t>
            </w:r>
          </w:p>
        </w:tc>
      </w:tr>
    </w:tbl>
    <w:p w:rsidR="000D35ED" w:rsidRDefault="000D35ED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:rsidR="008C1EF6" w:rsidRPr="000D35ED" w:rsidRDefault="000D35ED" w:rsidP="00605485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0D35ED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Při použití hodnot pro dlouhodobou vodní toxicitu se berev úvahu rozložitelnost látky. </w:t>
      </w:r>
    </w:p>
    <w:p w:rsidR="008C1EF6" w:rsidRDefault="000D35ED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Multiplikač</w:t>
      </w:r>
      <w:r w:rsidR="008C1EF6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ní faktor Aquatic Chronic 1</w:t>
      </w:r>
    </w:p>
    <w:tbl>
      <w:tblPr>
        <w:tblW w:w="9214" w:type="dxa"/>
        <w:tblInd w:w="14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09"/>
        <w:gridCol w:w="2737"/>
        <w:gridCol w:w="2268"/>
      </w:tblGrid>
      <w:tr w:rsidR="008C1EF6" w:rsidRPr="008C1EF6" w:rsidTr="000D35ED">
        <w:trPr>
          <w:trHeight w:val="227"/>
        </w:trPr>
        <w:tc>
          <w:tcPr>
            <w:tcW w:w="4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NOEC mg/l</w:t>
            </w: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 xml:space="preserve"> 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Multiplikační faktor  M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EF6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Nesnadno rozložitelné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Snadno rozložitelné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0,01 &lt; NOEC ≤ 0,1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-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0,001 &lt; NOEC ≤ 0,01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0,0001 &lt; NOEC ≤ 0,001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0,00001 &lt; NOEC ≤ 0,0001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</w:t>
            </w:r>
          </w:p>
        </w:tc>
      </w:tr>
      <w:tr w:rsidR="008C1EF6" w:rsidRPr="008C1EF6" w:rsidTr="000D35ED">
        <w:trPr>
          <w:trHeight w:val="227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Pokračovat dále v násobcích 10</w:t>
            </w:r>
          </w:p>
        </w:tc>
      </w:tr>
    </w:tbl>
    <w:p w:rsidR="008C1EF6" w:rsidRDefault="008C1EF6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sectPr w:rsidR="008C1EF6" w:rsidSect="00271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F2E14"/>
    <w:multiLevelType w:val="hybridMultilevel"/>
    <w:tmpl w:val="DAD0F0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F72566"/>
    <w:multiLevelType w:val="hybridMultilevel"/>
    <w:tmpl w:val="E50223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84283"/>
    <w:multiLevelType w:val="hybridMultilevel"/>
    <w:tmpl w:val="A936F5E2"/>
    <w:lvl w:ilvl="0" w:tplc="B45840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9436460"/>
    <w:multiLevelType w:val="hybridMultilevel"/>
    <w:tmpl w:val="A76A20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2542"/>
    <w:rsid w:val="00002B99"/>
    <w:rsid w:val="00011F6D"/>
    <w:rsid w:val="000161A4"/>
    <w:rsid w:val="00017CA0"/>
    <w:rsid w:val="000237C1"/>
    <w:rsid w:val="00031D21"/>
    <w:rsid w:val="00033C16"/>
    <w:rsid w:val="00034AED"/>
    <w:rsid w:val="00043882"/>
    <w:rsid w:val="000523D0"/>
    <w:rsid w:val="00056EC2"/>
    <w:rsid w:val="000641C0"/>
    <w:rsid w:val="00064997"/>
    <w:rsid w:val="0006725E"/>
    <w:rsid w:val="00073B32"/>
    <w:rsid w:val="0008262E"/>
    <w:rsid w:val="000A3539"/>
    <w:rsid w:val="000A7A58"/>
    <w:rsid w:val="000D35ED"/>
    <w:rsid w:val="000E5835"/>
    <w:rsid w:val="000F40B7"/>
    <w:rsid w:val="00110503"/>
    <w:rsid w:val="00125836"/>
    <w:rsid w:val="00133BBB"/>
    <w:rsid w:val="00143886"/>
    <w:rsid w:val="00144CA5"/>
    <w:rsid w:val="0015558C"/>
    <w:rsid w:val="00197812"/>
    <w:rsid w:val="001A49D9"/>
    <w:rsid w:val="001B3D96"/>
    <w:rsid w:val="001D4429"/>
    <w:rsid w:val="001D65D0"/>
    <w:rsid w:val="001E6CEB"/>
    <w:rsid w:val="001F2E46"/>
    <w:rsid w:val="002176CD"/>
    <w:rsid w:val="00230618"/>
    <w:rsid w:val="00235915"/>
    <w:rsid w:val="0026192C"/>
    <w:rsid w:val="002712C3"/>
    <w:rsid w:val="00274DCB"/>
    <w:rsid w:val="00283D7C"/>
    <w:rsid w:val="002A02BE"/>
    <w:rsid w:val="002A02F0"/>
    <w:rsid w:val="002A271B"/>
    <w:rsid w:val="002C40BA"/>
    <w:rsid w:val="002C49CF"/>
    <w:rsid w:val="002D25A1"/>
    <w:rsid w:val="002D3DE8"/>
    <w:rsid w:val="002D5E5A"/>
    <w:rsid w:val="002E6E44"/>
    <w:rsid w:val="002F2A3A"/>
    <w:rsid w:val="002F6CCD"/>
    <w:rsid w:val="0030427E"/>
    <w:rsid w:val="00322B67"/>
    <w:rsid w:val="00324538"/>
    <w:rsid w:val="003346D9"/>
    <w:rsid w:val="00345662"/>
    <w:rsid w:val="00346FF5"/>
    <w:rsid w:val="00373C40"/>
    <w:rsid w:val="0037446B"/>
    <w:rsid w:val="00386120"/>
    <w:rsid w:val="003950E2"/>
    <w:rsid w:val="00395A02"/>
    <w:rsid w:val="003D0F35"/>
    <w:rsid w:val="003D1AFC"/>
    <w:rsid w:val="00401D5D"/>
    <w:rsid w:val="004063A2"/>
    <w:rsid w:val="004161DC"/>
    <w:rsid w:val="004233D5"/>
    <w:rsid w:val="00435DD7"/>
    <w:rsid w:val="004440C4"/>
    <w:rsid w:val="00466794"/>
    <w:rsid w:val="00473B21"/>
    <w:rsid w:val="00476FA0"/>
    <w:rsid w:val="004828D4"/>
    <w:rsid w:val="00482DE5"/>
    <w:rsid w:val="004A57B0"/>
    <w:rsid w:val="004C2EF7"/>
    <w:rsid w:val="004D6F54"/>
    <w:rsid w:val="00505401"/>
    <w:rsid w:val="00510BAF"/>
    <w:rsid w:val="0052149A"/>
    <w:rsid w:val="00521942"/>
    <w:rsid w:val="00532C52"/>
    <w:rsid w:val="00533AE4"/>
    <w:rsid w:val="00543D31"/>
    <w:rsid w:val="005550C3"/>
    <w:rsid w:val="00555D93"/>
    <w:rsid w:val="0055659D"/>
    <w:rsid w:val="00557A68"/>
    <w:rsid w:val="00566749"/>
    <w:rsid w:val="00583268"/>
    <w:rsid w:val="00587FAD"/>
    <w:rsid w:val="005B40FB"/>
    <w:rsid w:val="005B56BE"/>
    <w:rsid w:val="005C09DB"/>
    <w:rsid w:val="005D0138"/>
    <w:rsid w:val="005E01E6"/>
    <w:rsid w:val="005F76CE"/>
    <w:rsid w:val="00605485"/>
    <w:rsid w:val="006332DB"/>
    <w:rsid w:val="006677E7"/>
    <w:rsid w:val="00667994"/>
    <w:rsid w:val="00670B6F"/>
    <w:rsid w:val="00673E5F"/>
    <w:rsid w:val="006748A0"/>
    <w:rsid w:val="00677208"/>
    <w:rsid w:val="00687F02"/>
    <w:rsid w:val="00690DFC"/>
    <w:rsid w:val="00692819"/>
    <w:rsid w:val="006A1394"/>
    <w:rsid w:val="006A7CFF"/>
    <w:rsid w:val="006B3B61"/>
    <w:rsid w:val="006C483B"/>
    <w:rsid w:val="006E27C2"/>
    <w:rsid w:val="006E5322"/>
    <w:rsid w:val="006E706A"/>
    <w:rsid w:val="006F6D6D"/>
    <w:rsid w:val="00701986"/>
    <w:rsid w:val="00703308"/>
    <w:rsid w:val="00712BA3"/>
    <w:rsid w:val="00720968"/>
    <w:rsid w:val="00745A66"/>
    <w:rsid w:val="00752281"/>
    <w:rsid w:val="00756548"/>
    <w:rsid w:val="00764B30"/>
    <w:rsid w:val="00772033"/>
    <w:rsid w:val="00775C31"/>
    <w:rsid w:val="007856A9"/>
    <w:rsid w:val="00787D72"/>
    <w:rsid w:val="00790D07"/>
    <w:rsid w:val="00794308"/>
    <w:rsid w:val="00794A66"/>
    <w:rsid w:val="007C53E3"/>
    <w:rsid w:val="007E36D0"/>
    <w:rsid w:val="007E6207"/>
    <w:rsid w:val="00815733"/>
    <w:rsid w:val="00844D2D"/>
    <w:rsid w:val="008543B4"/>
    <w:rsid w:val="00886E74"/>
    <w:rsid w:val="008A0A5D"/>
    <w:rsid w:val="008A6979"/>
    <w:rsid w:val="008B017D"/>
    <w:rsid w:val="008B0A93"/>
    <w:rsid w:val="008C0A91"/>
    <w:rsid w:val="008C15AC"/>
    <w:rsid w:val="008C1EF6"/>
    <w:rsid w:val="008C2B32"/>
    <w:rsid w:val="008D38C8"/>
    <w:rsid w:val="008E2983"/>
    <w:rsid w:val="008F2542"/>
    <w:rsid w:val="008F6B66"/>
    <w:rsid w:val="00911A80"/>
    <w:rsid w:val="009146BC"/>
    <w:rsid w:val="00926240"/>
    <w:rsid w:val="00934EE6"/>
    <w:rsid w:val="0093567D"/>
    <w:rsid w:val="00956783"/>
    <w:rsid w:val="00962276"/>
    <w:rsid w:val="00964EE6"/>
    <w:rsid w:val="00985644"/>
    <w:rsid w:val="00985F15"/>
    <w:rsid w:val="00993CA0"/>
    <w:rsid w:val="009A1722"/>
    <w:rsid w:val="009A6F53"/>
    <w:rsid w:val="009B6CFD"/>
    <w:rsid w:val="009E69C4"/>
    <w:rsid w:val="009F72B3"/>
    <w:rsid w:val="00A005D5"/>
    <w:rsid w:val="00A03C84"/>
    <w:rsid w:val="00A04997"/>
    <w:rsid w:val="00A0788B"/>
    <w:rsid w:val="00A11522"/>
    <w:rsid w:val="00A17091"/>
    <w:rsid w:val="00A407B1"/>
    <w:rsid w:val="00A420F8"/>
    <w:rsid w:val="00A44AE8"/>
    <w:rsid w:val="00A707E7"/>
    <w:rsid w:val="00A83ABF"/>
    <w:rsid w:val="00A860A2"/>
    <w:rsid w:val="00AB1ABC"/>
    <w:rsid w:val="00AB7B65"/>
    <w:rsid w:val="00AC5A93"/>
    <w:rsid w:val="00AE7A4D"/>
    <w:rsid w:val="00AF2FC4"/>
    <w:rsid w:val="00B127E7"/>
    <w:rsid w:val="00B1611F"/>
    <w:rsid w:val="00B322A1"/>
    <w:rsid w:val="00B5695A"/>
    <w:rsid w:val="00B93DAE"/>
    <w:rsid w:val="00BB4C6F"/>
    <w:rsid w:val="00BB6794"/>
    <w:rsid w:val="00BC7114"/>
    <w:rsid w:val="00BE4405"/>
    <w:rsid w:val="00BF028F"/>
    <w:rsid w:val="00BF7D84"/>
    <w:rsid w:val="00C032DC"/>
    <w:rsid w:val="00C0409F"/>
    <w:rsid w:val="00C075A9"/>
    <w:rsid w:val="00C20743"/>
    <w:rsid w:val="00C54D84"/>
    <w:rsid w:val="00C7084E"/>
    <w:rsid w:val="00C71977"/>
    <w:rsid w:val="00C92247"/>
    <w:rsid w:val="00CA2427"/>
    <w:rsid w:val="00CA5E0C"/>
    <w:rsid w:val="00CD693F"/>
    <w:rsid w:val="00CF5210"/>
    <w:rsid w:val="00D12D15"/>
    <w:rsid w:val="00D1317A"/>
    <w:rsid w:val="00D16438"/>
    <w:rsid w:val="00D52237"/>
    <w:rsid w:val="00D55BA6"/>
    <w:rsid w:val="00D72F31"/>
    <w:rsid w:val="00D82B47"/>
    <w:rsid w:val="00D9366F"/>
    <w:rsid w:val="00D9447F"/>
    <w:rsid w:val="00DB00DC"/>
    <w:rsid w:val="00DB23F5"/>
    <w:rsid w:val="00DC5CF9"/>
    <w:rsid w:val="00DD041D"/>
    <w:rsid w:val="00DE1D1E"/>
    <w:rsid w:val="00DF4314"/>
    <w:rsid w:val="00E113B9"/>
    <w:rsid w:val="00E26484"/>
    <w:rsid w:val="00E308E2"/>
    <w:rsid w:val="00E47E19"/>
    <w:rsid w:val="00E560D3"/>
    <w:rsid w:val="00E6397B"/>
    <w:rsid w:val="00E86893"/>
    <w:rsid w:val="00E97922"/>
    <w:rsid w:val="00E97FEA"/>
    <w:rsid w:val="00EC24E2"/>
    <w:rsid w:val="00EC78F2"/>
    <w:rsid w:val="00ED52A2"/>
    <w:rsid w:val="00ED6373"/>
    <w:rsid w:val="00ED6752"/>
    <w:rsid w:val="00EE7248"/>
    <w:rsid w:val="00EF1D7C"/>
    <w:rsid w:val="00EF7340"/>
    <w:rsid w:val="00F07744"/>
    <w:rsid w:val="00F109FF"/>
    <w:rsid w:val="00F11D28"/>
    <w:rsid w:val="00F21284"/>
    <w:rsid w:val="00F22504"/>
    <w:rsid w:val="00F302A8"/>
    <w:rsid w:val="00F33FA1"/>
    <w:rsid w:val="00F63228"/>
    <w:rsid w:val="00F6397F"/>
    <w:rsid w:val="00F63DD7"/>
    <w:rsid w:val="00F66978"/>
    <w:rsid w:val="00F669A9"/>
    <w:rsid w:val="00F75155"/>
    <w:rsid w:val="00F8700F"/>
    <w:rsid w:val="00FA4B14"/>
    <w:rsid w:val="00FB4F91"/>
    <w:rsid w:val="00FC0114"/>
    <w:rsid w:val="00FF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12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8F2542"/>
    <w:pPr>
      <w:spacing w:after="0" w:line="240" w:lineRule="auto"/>
    </w:pPr>
  </w:style>
  <w:style w:type="table" w:styleId="Mkatabulky">
    <w:name w:val="Table Grid"/>
    <w:basedOn w:val="Normlntabulka"/>
    <w:uiPriority w:val="59"/>
    <w:rsid w:val="008F2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8F25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4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4CA5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rsid w:val="00AB1ABC"/>
    <w:pPr>
      <w:jc w:val="both"/>
    </w:pPr>
    <w:rPr>
      <w:rFonts w:ascii="Times New Roman" w:eastAsia="Calibri" w:hAnsi="Times New Roman" w:cs="Times New Roman"/>
      <w:color w:val="000000"/>
      <w:sz w:val="24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AB1ABC"/>
    <w:rPr>
      <w:rFonts w:ascii="Times New Roman" w:eastAsia="Calibri" w:hAnsi="Times New Roman" w:cs="Times New Roman"/>
      <w:color w:val="000000"/>
      <w:sz w:val="24"/>
      <w:szCs w:val="18"/>
    </w:rPr>
  </w:style>
  <w:style w:type="paragraph" w:customStyle="1" w:styleId="CM1">
    <w:name w:val="CM1"/>
    <w:basedOn w:val="Normln"/>
    <w:next w:val="Normln"/>
    <w:uiPriority w:val="99"/>
    <w:rsid w:val="00F11D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F11D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2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2111</Words>
  <Characters>12458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Hana</cp:lastModifiedBy>
  <cp:revision>2</cp:revision>
  <cp:lastPrinted>2015-03-10T17:45:00Z</cp:lastPrinted>
  <dcterms:created xsi:type="dcterms:W3CDTF">2017-10-29T19:56:00Z</dcterms:created>
  <dcterms:modified xsi:type="dcterms:W3CDTF">2017-10-29T19:56:00Z</dcterms:modified>
</cp:coreProperties>
</file>