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2E4" w:rsidRPr="00225B0E" w:rsidRDefault="00225B0E" w:rsidP="00225B0E">
      <w:pPr>
        <w:jc w:val="right"/>
        <w:rPr>
          <w:b/>
        </w:rPr>
      </w:pPr>
      <w:bookmarkStart w:id="0" w:name="_GoBack"/>
      <w:bookmarkEnd w:id="0"/>
      <w:r w:rsidRPr="00225B0E">
        <w:rPr>
          <w:b/>
        </w:rPr>
        <w:t>III.</w:t>
      </w:r>
    </w:p>
    <w:p w:rsidR="000D42E4" w:rsidRPr="00EC1DAD" w:rsidRDefault="000D42E4" w:rsidP="000D42E4">
      <w:pPr>
        <w:jc w:val="center"/>
        <w:rPr>
          <w:b/>
          <w:sz w:val="44"/>
          <w:szCs w:val="44"/>
        </w:rPr>
      </w:pPr>
    </w:p>
    <w:p w:rsidR="000D42E4" w:rsidRPr="00EC1DAD" w:rsidRDefault="000D42E4" w:rsidP="000D42E4">
      <w:pPr>
        <w:jc w:val="center"/>
        <w:rPr>
          <w:b/>
          <w:sz w:val="44"/>
          <w:szCs w:val="44"/>
        </w:rPr>
      </w:pPr>
    </w:p>
    <w:p w:rsidR="000D42E4" w:rsidRPr="00EC1DAD" w:rsidRDefault="000D42E4" w:rsidP="000D42E4">
      <w:pPr>
        <w:jc w:val="center"/>
        <w:rPr>
          <w:b/>
          <w:sz w:val="44"/>
          <w:szCs w:val="44"/>
        </w:rPr>
      </w:pPr>
    </w:p>
    <w:p w:rsidR="000D42E4" w:rsidRPr="00EC1DAD" w:rsidRDefault="000D42E4" w:rsidP="000D42E4">
      <w:pPr>
        <w:jc w:val="center"/>
        <w:rPr>
          <w:b/>
          <w:sz w:val="44"/>
          <w:szCs w:val="44"/>
        </w:rPr>
      </w:pPr>
    </w:p>
    <w:p w:rsidR="000D42E4" w:rsidRPr="00EC1DAD" w:rsidRDefault="000D42E4" w:rsidP="000D42E4">
      <w:pPr>
        <w:jc w:val="center"/>
        <w:rPr>
          <w:b/>
          <w:sz w:val="44"/>
          <w:szCs w:val="44"/>
        </w:rPr>
      </w:pPr>
    </w:p>
    <w:p w:rsidR="000D42E4" w:rsidRPr="00EC1DAD" w:rsidRDefault="000D42E4" w:rsidP="000D42E4">
      <w:pPr>
        <w:jc w:val="center"/>
        <w:rPr>
          <w:b/>
          <w:sz w:val="44"/>
          <w:szCs w:val="44"/>
        </w:rPr>
      </w:pPr>
    </w:p>
    <w:p w:rsidR="000D42E4" w:rsidRPr="00EC1DAD" w:rsidRDefault="00550BDF" w:rsidP="000D42E4">
      <w:pPr>
        <w:jc w:val="center"/>
        <w:rPr>
          <w:b/>
          <w:sz w:val="44"/>
          <w:szCs w:val="44"/>
        </w:rPr>
      </w:pPr>
      <w:r w:rsidRPr="00EC1DAD">
        <w:rPr>
          <w:b/>
          <w:sz w:val="44"/>
          <w:szCs w:val="44"/>
        </w:rPr>
        <w:t>ODŮVODNĚNÍ</w:t>
      </w:r>
    </w:p>
    <w:p w:rsidR="000D42E4" w:rsidRPr="00EC1DAD" w:rsidRDefault="000D42E4" w:rsidP="000D42E4">
      <w:pPr>
        <w:jc w:val="center"/>
        <w:rPr>
          <w:b/>
          <w:sz w:val="44"/>
          <w:szCs w:val="44"/>
        </w:rPr>
      </w:pPr>
    </w:p>
    <w:p w:rsidR="000D42E4" w:rsidRPr="00EC1DAD" w:rsidRDefault="000D42E4" w:rsidP="000D42E4">
      <w:pPr>
        <w:jc w:val="center"/>
        <w:rPr>
          <w:b/>
          <w:sz w:val="28"/>
          <w:szCs w:val="28"/>
        </w:rPr>
      </w:pPr>
      <w:r w:rsidRPr="00EC1DAD">
        <w:rPr>
          <w:b/>
        </w:rPr>
        <w:t xml:space="preserve">k návrhu </w:t>
      </w:r>
      <w:r w:rsidR="00FB31C5" w:rsidRPr="00EC1DAD">
        <w:rPr>
          <w:b/>
        </w:rPr>
        <w:t>vyhlášky</w:t>
      </w:r>
      <w:r w:rsidR="00156975" w:rsidRPr="00EC1DAD">
        <w:rPr>
          <w:b/>
        </w:rPr>
        <w:t>, kterou se mění</w:t>
      </w:r>
      <w:r w:rsidR="00EC649F" w:rsidRPr="00EC1DAD">
        <w:rPr>
          <w:b/>
        </w:rPr>
        <w:t xml:space="preserve"> </w:t>
      </w:r>
      <w:r w:rsidR="00FB31C5" w:rsidRPr="00EC1DAD">
        <w:rPr>
          <w:b/>
        </w:rPr>
        <w:t>vyhláška č. 383/2001 Sb., o podrobnostech nakládání s odpady</w:t>
      </w:r>
    </w:p>
    <w:p w:rsidR="000D42E4" w:rsidRPr="00EC1DAD" w:rsidRDefault="000D42E4" w:rsidP="000D42E4">
      <w:pPr>
        <w:jc w:val="center"/>
        <w:rPr>
          <w:b/>
          <w:sz w:val="28"/>
          <w:szCs w:val="28"/>
        </w:rPr>
      </w:pPr>
    </w:p>
    <w:p w:rsidR="000D42E4" w:rsidRPr="00EC1DAD" w:rsidRDefault="000D42E4" w:rsidP="000D42E4">
      <w:pPr>
        <w:jc w:val="center"/>
        <w:rPr>
          <w:b/>
          <w:sz w:val="28"/>
          <w:szCs w:val="28"/>
        </w:rPr>
      </w:pPr>
    </w:p>
    <w:p w:rsidR="000D42E4" w:rsidRPr="00EC1DAD" w:rsidRDefault="000D42E4" w:rsidP="000D42E4">
      <w:pPr>
        <w:jc w:val="center"/>
        <w:rPr>
          <w:b/>
          <w:sz w:val="28"/>
          <w:szCs w:val="28"/>
        </w:rPr>
      </w:pPr>
    </w:p>
    <w:p w:rsidR="000D42E4" w:rsidRPr="00EC1DAD" w:rsidRDefault="000D42E4" w:rsidP="000D42E4">
      <w:pPr>
        <w:jc w:val="center"/>
        <w:rPr>
          <w:b/>
          <w:sz w:val="28"/>
          <w:szCs w:val="28"/>
        </w:rPr>
      </w:pPr>
    </w:p>
    <w:p w:rsidR="000D42E4" w:rsidRPr="00EC1DAD" w:rsidRDefault="000D42E4" w:rsidP="000D42E4">
      <w:pPr>
        <w:jc w:val="center"/>
        <w:rPr>
          <w:b/>
          <w:sz w:val="28"/>
          <w:szCs w:val="28"/>
        </w:rPr>
      </w:pPr>
    </w:p>
    <w:p w:rsidR="000D42E4" w:rsidRPr="00EC1DAD" w:rsidRDefault="000D42E4" w:rsidP="000D42E4">
      <w:pPr>
        <w:jc w:val="center"/>
        <w:rPr>
          <w:b/>
          <w:sz w:val="28"/>
          <w:szCs w:val="28"/>
        </w:rPr>
      </w:pPr>
    </w:p>
    <w:p w:rsidR="000D42E4" w:rsidRPr="00EC1DAD" w:rsidRDefault="000D42E4" w:rsidP="000D42E4">
      <w:pPr>
        <w:jc w:val="center"/>
        <w:rPr>
          <w:b/>
          <w:sz w:val="28"/>
          <w:szCs w:val="28"/>
        </w:rPr>
      </w:pPr>
    </w:p>
    <w:p w:rsidR="000D42E4" w:rsidRPr="00EC1DAD" w:rsidRDefault="000D42E4" w:rsidP="000D42E4">
      <w:pPr>
        <w:jc w:val="center"/>
        <w:rPr>
          <w:b/>
          <w:sz w:val="28"/>
          <w:szCs w:val="28"/>
        </w:rPr>
      </w:pPr>
    </w:p>
    <w:p w:rsidR="000D42E4" w:rsidRPr="00EC1DAD" w:rsidRDefault="000D42E4" w:rsidP="000D42E4">
      <w:pPr>
        <w:jc w:val="center"/>
        <w:rPr>
          <w:b/>
          <w:sz w:val="28"/>
          <w:szCs w:val="28"/>
        </w:rPr>
      </w:pPr>
    </w:p>
    <w:p w:rsidR="000D42E4" w:rsidRPr="00EC1DAD" w:rsidRDefault="000D42E4" w:rsidP="000D42E4">
      <w:pPr>
        <w:jc w:val="center"/>
        <w:rPr>
          <w:b/>
          <w:sz w:val="28"/>
          <w:szCs w:val="28"/>
        </w:rPr>
      </w:pPr>
    </w:p>
    <w:p w:rsidR="000D42E4" w:rsidRPr="00EC1DAD" w:rsidRDefault="000D42E4" w:rsidP="000D42E4">
      <w:pPr>
        <w:jc w:val="center"/>
        <w:rPr>
          <w:b/>
          <w:sz w:val="28"/>
          <w:szCs w:val="28"/>
        </w:rPr>
      </w:pPr>
    </w:p>
    <w:p w:rsidR="000D42E4" w:rsidRPr="00EC1DAD" w:rsidRDefault="000D42E4" w:rsidP="000D42E4">
      <w:pPr>
        <w:jc w:val="center"/>
        <w:rPr>
          <w:b/>
          <w:sz w:val="28"/>
          <w:szCs w:val="28"/>
        </w:rPr>
      </w:pPr>
      <w:r w:rsidRPr="00EC1DAD">
        <w:rPr>
          <w:b/>
          <w:noProof/>
          <w:sz w:val="28"/>
          <w:szCs w:val="28"/>
          <w:lang w:eastAsia="cs-CZ"/>
        </w:rPr>
        <w:drawing>
          <wp:inline distT="0" distB="0" distL="0" distR="0">
            <wp:extent cx="2486025" cy="512667"/>
            <wp:effectExtent l="19050" t="0" r="0" b="0"/>
            <wp:docPr id="15"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2485203" cy="512498"/>
                    </a:xfrm>
                    <a:prstGeom prst="rect">
                      <a:avLst/>
                    </a:prstGeom>
                    <a:noFill/>
                    <a:ln w="9525">
                      <a:noFill/>
                      <a:miter lim="800000"/>
                      <a:headEnd/>
                      <a:tailEnd/>
                    </a:ln>
                  </pic:spPr>
                </pic:pic>
              </a:graphicData>
            </a:graphic>
          </wp:inline>
        </w:drawing>
      </w:r>
    </w:p>
    <w:p w:rsidR="000D42E4" w:rsidRPr="00EC1DAD" w:rsidRDefault="000D42E4" w:rsidP="000D42E4">
      <w:pPr>
        <w:jc w:val="center"/>
        <w:rPr>
          <w:b/>
          <w:sz w:val="28"/>
          <w:szCs w:val="28"/>
        </w:rPr>
      </w:pPr>
      <w:r w:rsidRPr="00EC1DAD">
        <w:rPr>
          <w:b/>
          <w:sz w:val="28"/>
          <w:szCs w:val="28"/>
        </w:rPr>
        <w:t>201</w:t>
      </w:r>
      <w:r w:rsidR="00030D1E">
        <w:rPr>
          <w:b/>
          <w:sz w:val="28"/>
          <w:szCs w:val="28"/>
        </w:rPr>
        <w:t>6</w:t>
      </w:r>
    </w:p>
    <w:p w:rsidR="00BA0CBF" w:rsidRPr="00EC1DAD" w:rsidRDefault="00BA0CBF">
      <w:pPr>
        <w:spacing w:line="240" w:lineRule="auto"/>
        <w:jc w:val="left"/>
        <w:rPr>
          <w:b/>
          <w:sz w:val="28"/>
          <w:szCs w:val="28"/>
        </w:rPr>
        <w:sectPr w:rsidR="00BA0CBF" w:rsidRPr="00EC1DAD" w:rsidSect="006E4AC5">
          <w:pgSz w:w="11906" w:h="16838"/>
          <w:pgMar w:top="1417" w:right="1417" w:bottom="1417" w:left="1417" w:header="708" w:footer="708" w:gutter="0"/>
          <w:cols w:space="708"/>
          <w:docGrid w:linePitch="360"/>
        </w:sectPr>
      </w:pPr>
    </w:p>
    <w:p w:rsidR="000D42E4" w:rsidRPr="00EC1DAD" w:rsidRDefault="008B6B4B" w:rsidP="000D42E4">
      <w:pPr>
        <w:spacing w:before="240"/>
        <w:jc w:val="right"/>
        <w:rPr>
          <w:b/>
          <w:sz w:val="32"/>
          <w:szCs w:val="32"/>
          <w:lang w:bidi="en-US"/>
        </w:rPr>
      </w:pPr>
      <w:r w:rsidRPr="00EC1DAD">
        <w:rPr>
          <w:b/>
          <w:sz w:val="32"/>
          <w:szCs w:val="32"/>
          <w:lang w:bidi="en-US"/>
        </w:rPr>
        <w:lastRenderedPageBreak/>
        <w:t>III.</w:t>
      </w:r>
    </w:p>
    <w:p w:rsidR="000D42E4" w:rsidRPr="00EC1DAD" w:rsidRDefault="00A14B88" w:rsidP="000D42E4">
      <w:pPr>
        <w:spacing w:before="240"/>
        <w:jc w:val="center"/>
        <w:rPr>
          <w:b/>
          <w:sz w:val="32"/>
          <w:szCs w:val="32"/>
          <w:lang w:bidi="en-US"/>
        </w:rPr>
      </w:pPr>
      <w:r w:rsidRPr="00EC1DAD">
        <w:rPr>
          <w:b/>
          <w:sz w:val="32"/>
          <w:szCs w:val="32"/>
          <w:lang w:bidi="en-US"/>
        </w:rPr>
        <w:t>ODŮVODNĚNÍ</w:t>
      </w:r>
    </w:p>
    <w:p w:rsidR="000D42E4" w:rsidRPr="00EC1DAD" w:rsidRDefault="000D42E4" w:rsidP="00C05531">
      <w:pPr>
        <w:pStyle w:val="Nzev"/>
        <w:rPr>
          <w:rFonts w:eastAsiaTheme="majorEastAsia"/>
          <w:lang w:bidi="en-US"/>
        </w:rPr>
      </w:pPr>
      <w:r w:rsidRPr="00EC1DAD">
        <w:rPr>
          <w:rFonts w:eastAsiaTheme="majorEastAsia"/>
          <w:lang w:bidi="en-US"/>
        </w:rPr>
        <w:t>OBECNÁ ČÁST</w:t>
      </w:r>
    </w:p>
    <w:p w:rsidR="00C63D09" w:rsidRPr="00EC1DAD" w:rsidRDefault="00C63D09" w:rsidP="00C05531">
      <w:pPr>
        <w:pStyle w:val="Podtitul"/>
        <w:rPr>
          <w:rFonts w:eastAsiaTheme="majorEastAsia"/>
          <w:lang w:bidi="en-US"/>
        </w:rPr>
      </w:pPr>
      <w:r w:rsidRPr="00EC1DAD">
        <w:rPr>
          <w:rFonts w:eastAsiaTheme="majorEastAsia"/>
          <w:lang w:bidi="en-US"/>
        </w:rPr>
        <w:t>Vysvětlení nezbytnosti právní úpravy a odůvodnění jejich hlavních principů</w:t>
      </w:r>
    </w:p>
    <w:p w:rsidR="00FB31C5" w:rsidRPr="00EC1DAD" w:rsidRDefault="00FB31C5" w:rsidP="00FB31C5">
      <w:pPr>
        <w:rPr>
          <w:rFonts w:eastAsiaTheme="majorEastAsia"/>
          <w:lang w:bidi="en-US"/>
        </w:rPr>
      </w:pPr>
      <w:r w:rsidRPr="00EC1DAD">
        <w:rPr>
          <w:rFonts w:eastAsiaTheme="majorEastAsia"/>
          <w:lang w:bidi="en-US"/>
        </w:rPr>
        <w:t xml:space="preserve">Vyhláška č. 383/2001 Sb., o podrobnostech nakládání s odpady, ve znění pozdějších předpisů (dále jen „vyhláška“), provádí ustanovení zákona č. 185/2001 Sb., o odpadech a o změně některých právních předpisů, ve znění pozdějších předpisů (dále jen „zákon“), v oblasti nakládání s odpady. </w:t>
      </w:r>
    </w:p>
    <w:p w:rsidR="00FB31C5" w:rsidRPr="00EC1DAD" w:rsidRDefault="00FB31C5" w:rsidP="00FB31C5">
      <w:pPr>
        <w:rPr>
          <w:rFonts w:eastAsiaTheme="majorEastAsia"/>
          <w:lang w:bidi="en-US"/>
        </w:rPr>
      </w:pPr>
      <w:r w:rsidRPr="00EC1DAD">
        <w:rPr>
          <w:rFonts w:eastAsiaTheme="majorEastAsia"/>
          <w:lang w:bidi="en-US"/>
        </w:rPr>
        <w:t>Navrhovaná právn</w:t>
      </w:r>
      <w:r w:rsidR="002A557B">
        <w:rPr>
          <w:rFonts w:eastAsiaTheme="majorEastAsia"/>
          <w:lang w:bidi="en-US"/>
        </w:rPr>
        <w:t>í úprava reaguje na novelizační zákon č. 223/2015 Sb., kterým se mění zákon o odpadech. Zákon o odpadech</w:t>
      </w:r>
      <w:r w:rsidRPr="00EC1DAD">
        <w:rPr>
          <w:rFonts w:eastAsiaTheme="majorEastAsia"/>
          <w:lang w:bidi="en-US"/>
        </w:rPr>
        <w:t xml:space="preserve"> </w:t>
      </w:r>
      <w:r w:rsidR="002A557B">
        <w:rPr>
          <w:rFonts w:eastAsiaTheme="majorEastAsia"/>
          <w:lang w:bidi="en-US"/>
        </w:rPr>
        <w:t>byl</w:t>
      </w:r>
      <w:r w:rsidRPr="00EC1DAD">
        <w:rPr>
          <w:rFonts w:eastAsiaTheme="majorEastAsia"/>
          <w:lang w:bidi="en-US"/>
        </w:rPr>
        <w:t xml:space="preserve"> primárně </w:t>
      </w:r>
      <w:r w:rsidR="002A557B">
        <w:rPr>
          <w:rFonts w:eastAsiaTheme="majorEastAsia"/>
          <w:lang w:bidi="en-US"/>
        </w:rPr>
        <w:t xml:space="preserve">novelizován </w:t>
      </w:r>
      <w:r w:rsidRPr="00EC1DAD">
        <w:rPr>
          <w:rFonts w:eastAsiaTheme="majorEastAsia"/>
          <w:lang w:bidi="en-US"/>
        </w:rPr>
        <w:t xml:space="preserve">z důvodu řízení o porušení Smlouvy (tzv. </w:t>
      </w:r>
      <w:proofErr w:type="spellStart"/>
      <w:r w:rsidRPr="00EC1DAD">
        <w:rPr>
          <w:rFonts w:eastAsiaTheme="majorEastAsia"/>
          <w:lang w:bidi="en-US"/>
        </w:rPr>
        <w:t>infringementové</w:t>
      </w:r>
      <w:proofErr w:type="spellEnd"/>
      <w:r w:rsidRPr="00EC1DAD">
        <w:rPr>
          <w:rFonts w:eastAsiaTheme="majorEastAsia"/>
          <w:lang w:bidi="en-US"/>
        </w:rPr>
        <w:t xml:space="preserve"> řízení), které je s Českou republikou vedeno ze strany Evropské komise k nesprávné transpozici směrnice Evropského parlamentu a Rady (ES) č.</w:t>
      </w:r>
      <w:r w:rsidR="00A34F9B">
        <w:rPr>
          <w:rFonts w:eastAsiaTheme="majorEastAsia"/>
          <w:lang w:bidi="en-US"/>
        </w:rPr>
        <w:t> </w:t>
      </w:r>
      <w:r w:rsidRPr="00EC1DAD">
        <w:rPr>
          <w:rFonts w:eastAsiaTheme="majorEastAsia"/>
          <w:lang w:bidi="en-US"/>
        </w:rPr>
        <w:t>98/2008 ze dne 19. listopadu 2008 o odpadech a o zrušení některých směrnic. Navrhovaná novela vyhlášky provádí zejména ta ustanovení novely zákona, v nichž jsou v</w:t>
      </w:r>
      <w:r w:rsidR="00A34F9B">
        <w:rPr>
          <w:rFonts w:eastAsiaTheme="majorEastAsia"/>
          <w:lang w:bidi="en-US"/>
        </w:rPr>
        <w:t> </w:t>
      </w:r>
      <w:r w:rsidRPr="00EC1DAD">
        <w:rPr>
          <w:rFonts w:eastAsiaTheme="majorEastAsia"/>
          <w:lang w:bidi="en-US"/>
        </w:rPr>
        <w:t>návaznosti na novelu zákona č. 169/2013 Sb. navrženy změny na základě aktualizace opatření k posílení konkurenceschopnosti a rozvoje podnikání v České republice z pohledu právních předpisů na ochranu životního prostředí (tzv. ekoaudit). Jedná se o ustanovení týkající se elektronizace přepravy nebezpečných odpadů a některých evidenčních povinností, a rovněž vynětí minerálních olejů ze zpětného odběru. Dále navrhovaná novela vyhlášky provádí ustanovení novely zákona o odpadech, která se týkají sběru a výkupu odpadů, označování nebezpečných odpadů a převodu statistického zjišťování týkajícího se údajů o poplatcích za ukládání odpadů na skládky. Navrhovaná právní úprava obsahuje tři hlavní oblasti.</w:t>
      </w:r>
    </w:p>
    <w:p w:rsidR="00FB31C5" w:rsidRPr="00EC1DAD" w:rsidRDefault="00FB31C5" w:rsidP="00FB31C5">
      <w:pPr>
        <w:rPr>
          <w:rFonts w:eastAsiaTheme="majorEastAsia"/>
          <w:lang w:bidi="en-US"/>
        </w:rPr>
      </w:pPr>
      <w:r w:rsidRPr="00EC1DAD">
        <w:rPr>
          <w:rFonts w:eastAsiaTheme="majorEastAsia"/>
          <w:lang w:bidi="en-US"/>
        </w:rPr>
        <w:t xml:space="preserve">V oblasti sběru a výkupu odpadů dochází k rozšíření seznamu kovových odpadů, na které se vztahuje povinnost identifikace odebíraných nebo vykupovaných odpadů a osob odevzdávajících takovýto odpad, a povinnost provádět pouze bezhotovostní platbu způsobem stanoveným zákonem. Cílem navrhované právní úpravy je zlepšit kontrolu výkupu kovových odpadů a zamezit tak trestné činnosti související s krádeží kovových předmětů a jejich prodeje do zařízení ke sběru a výkupu odpadů.  </w:t>
      </w:r>
    </w:p>
    <w:p w:rsidR="00FB31C5" w:rsidRPr="00EC1DAD" w:rsidRDefault="00FB31C5" w:rsidP="00FB31C5">
      <w:pPr>
        <w:rPr>
          <w:rFonts w:eastAsiaTheme="majorEastAsia"/>
          <w:lang w:bidi="en-US"/>
        </w:rPr>
      </w:pPr>
      <w:r w:rsidRPr="00EC1DAD">
        <w:rPr>
          <w:rFonts w:eastAsiaTheme="majorEastAsia"/>
          <w:lang w:bidi="en-US"/>
        </w:rPr>
        <w:t>Navrhovaná právní úprava dále provádí zákonem nově upravenou povinnost provozovatelů skládek zasílat údaje o poplatcích za ukládání odpadů na skládky krajskému úřadu příslušnému podle místa skládky. Cílem navrhované právní úpravy je zjednodušení administrace podávání hlášení. Údaje o skládkách odpadů, včetně údajů o poplatcích, budou ohlašovány v rámci ročního hlášení o produkci a nakládání s odpady v nové tabulce na stávajícím listu tohoto hlášení.</w:t>
      </w:r>
    </w:p>
    <w:p w:rsidR="00C63D09" w:rsidRDefault="00C63D09" w:rsidP="00FB31C5">
      <w:pPr>
        <w:rPr>
          <w:rFonts w:eastAsiaTheme="majorEastAsia"/>
          <w:lang w:bidi="en-US"/>
        </w:rPr>
      </w:pPr>
    </w:p>
    <w:p w:rsidR="000335E0" w:rsidRDefault="000335E0" w:rsidP="000335E0">
      <w:pPr>
        <w:rPr>
          <w:rFonts w:eastAsiaTheme="majorEastAsia"/>
          <w:lang w:bidi="en-US"/>
        </w:rPr>
      </w:pPr>
      <w:r>
        <w:rPr>
          <w:rFonts w:eastAsiaTheme="majorEastAsia"/>
          <w:lang w:bidi="en-US"/>
        </w:rPr>
        <w:t xml:space="preserve">Další oblastí je ukotvení </w:t>
      </w:r>
      <w:r w:rsidRPr="00EC1DAD">
        <w:rPr>
          <w:rFonts w:eastAsiaTheme="majorEastAsia"/>
          <w:lang w:bidi="en-US"/>
        </w:rPr>
        <w:t>identifikačních čísel zařízení</w:t>
      </w:r>
      <w:r>
        <w:rPr>
          <w:rFonts w:eastAsiaTheme="majorEastAsia"/>
          <w:lang w:bidi="en-US"/>
        </w:rPr>
        <w:t xml:space="preserve"> v právní úpravě</w:t>
      </w:r>
      <w:r w:rsidRPr="00EC1DAD">
        <w:rPr>
          <w:rFonts w:eastAsiaTheme="majorEastAsia"/>
          <w:lang w:bidi="en-US"/>
        </w:rPr>
        <w:t>. Cílem navr</w:t>
      </w:r>
      <w:r>
        <w:rPr>
          <w:rFonts w:eastAsiaTheme="majorEastAsia"/>
          <w:lang w:bidi="en-US"/>
        </w:rPr>
        <w:t>hované právní úpravy je nastavení</w:t>
      </w:r>
      <w:r w:rsidRPr="00EC1DAD">
        <w:rPr>
          <w:rFonts w:eastAsiaTheme="majorEastAsia"/>
          <w:lang w:bidi="en-US"/>
        </w:rPr>
        <w:t xml:space="preserve"> podmín</w:t>
      </w:r>
      <w:r>
        <w:rPr>
          <w:rFonts w:eastAsiaTheme="majorEastAsia"/>
          <w:lang w:bidi="en-US"/>
        </w:rPr>
        <w:t>ek</w:t>
      </w:r>
      <w:r w:rsidRPr="00EC1DAD">
        <w:rPr>
          <w:rFonts w:eastAsiaTheme="majorEastAsia"/>
          <w:lang w:bidi="en-US"/>
        </w:rPr>
        <w:t xml:space="preserve"> přidělování ident</w:t>
      </w:r>
      <w:r>
        <w:rPr>
          <w:rFonts w:eastAsiaTheme="majorEastAsia"/>
          <w:lang w:bidi="en-US"/>
        </w:rPr>
        <w:t>ifikačních čísel zařízení a zavedení jednoznačné</w:t>
      </w:r>
      <w:r w:rsidRPr="00EC1DAD">
        <w:rPr>
          <w:rFonts w:eastAsiaTheme="majorEastAsia"/>
          <w:lang w:bidi="en-US"/>
        </w:rPr>
        <w:t xml:space="preserve"> povinnost</w:t>
      </w:r>
      <w:r>
        <w:rPr>
          <w:rFonts w:eastAsiaTheme="majorEastAsia"/>
          <w:lang w:bidi="en-US"/>
        </w:rPr>
        <w:t>i</w:t>
      </w:r>
      <w:r w:rsidRPr="00EC1DAD">
        <w:rPr>
          <w:rFonts w:eastAsiaTheme="majorEastAsia"/>
          <w:lang w:bidi="en-US"/>
        </w:rPr>
        <w:t xml:space="preserve"> jejich používání tak, aby tato čísla</w:t>
      </w:r>
      <w:r>
        <w:rPr>
          <w:rFonts w:eastAsiaTheme="majorEastAsia"/>
          <w:lang w:bidi="en-US"/>
        </w:rPr>
        <w:t>, která jsou částečně používaná již dnes, byla skutečně funkční</w:t>
      </w:r>
      <w:r w:rsidRPr="00EC1DAD">
        <w:rPr>
          <w:rFonts w:eastAsiaTheme="majorEastAsia"/>
          <w:lang w:bidi="en-US"/>
        </w:rPr>
        <w:t xml:space="preserve"> a umožňovala zamýšlené zjednodušení vedení evidence a</w:t>
      </w:r>
      <w:r w:rsidR="00F142E5">
        <w:rPr>
          <w:rFonts w:eastAsiaTheme="majorEastAsia"/>
          <w:lang w:bidi="en-US"/>
        </w:rPr>
        <w:t> </w:t>
      </w:r>
      <w:r w:rsidRPr="00EC1DAD">
        <w:rPr>
          <w:rFonts w:eastAsiaTheme="majorEastAsia"/>
          <w:lang w:bidi="en-US"/>
        </w:rPr>
        <w:t>ohlašování odpadů.</w:t>
      </w:r>
    </w:p>
    <w:p w:rsidR="000335E0" w:rsidRPr="00EC1DAD" w:rsidRDefault="000335E0" w:rsidP="000335E0">
      <w:pPr>
        <w:rPr>
          <w:rFonts w:eastAsiaTheme="majorEastAsia"/>
          <w:lang w:bidi="en-US"/>
        </w:rPr>
      </w:pPr>
      <w:r>
        <w:rPr>
          <w:rFonts w:eastAsiaTheme="majorEastAsia"/>
          <w:lang w:bidi="en-US"/>
        </w:rPr>
        <w:lastRenderedPageBreak/>
        <w:t xml:space="preserve">Poslední oblastí je změna informací v rámci identifikačního listu nebezpečných odpadů (ILNO). </w:t>
      </w:r>
      <w:r w:rsidRPr="00120540">
        <w:rPr>
          <w:rFonts w:eastAsiaTheme="majorEastAsia"/>
          <w:lang w:bidi="en-US"/>
        </w:rPr>
        <w:t>Cí</w:t>
      </w:r>
      <w:r>
        <w:rPr>
          <w:rFonts w:eastAsiaTheme="majorEastAsia"/>
          <w:lang w:bidi="en-US"/>
        </w:rPr>
        <w:t xml:space="preserve">lem úpravy je zlepšit dostupnost informací o </w:t>
      </w:r>
      <w:r w:rsidRPr="00120540">
        <w:rPr>
          <w:rFonts w:eastAsiaTheme="majorEastAsia"/>
          <w:lang w:bidi="en-US"/>
        </w:rPr>
        <w:t xml:space="preserve">fyzikálních a chemických vlastnostech </w:t>
      </w:r>
      <w:r>
        <w:rPr>
          <w:rFonts w:eastAsiaTheme="majorEastAsia"/>
          <w:lang w:bidi="en-US"/>
        </w:rPr>
        <w:t xml:space="preserve">nebezpečných odpadů </w:t>
      </w:r>
      <w:r w:rsidRPr="00120540">
        <w:rPr>
          <w:rFonts w:eastAsiaTheme="majorEastAsia"/>
          <w:lang w:bidi="en-US"/>
        </w:rPr>
        <w:t>z hlediska nakládání s těmito odpady</w:t>
      </w:r>
      <w:r>
        <w:rPr>
          <w:rFonts w:eastAsiaTheme="majorEastAsia"/>
          <w:lang w:bidi="en-US"/>
        </w:rPr>
        <w:t xml:space="preserve"> a ochrany životního prostředí</w:t>
      </w:r>
      <w:r w:rsidRPr="00120540">
        <w:rPr>
          <w:rFonts w:eastAsiaTheme="majorEastAsia"/>
          <w:lang w:bidi="en-US"/>
        </w:rPr>
        <w:t>.</w:t>
      </w:r>
    </w:p>
    <w:p w:rsidR="00156975" w:rsidRPr="00EC1DAD" w:rsidRDefault="00C63D09" w:rsidP="00C63D09">
      <w:pPr>
        <w:pStyle w:val="Podtitul"/>
        <w:rPr>
          <w:rFonts w:eastAsiaTheme="majorEastAsia"/>
          <w:lang w:bidi="en-US"/>
        </w:rPr>
      </w:pPr>
      <w:r w:rsidRPr="00EC1DAD">
        <w:rPr>
          <w:rFonts w:eastAsiaTheme="majorEastAsia"/>
          <w:lang w:bidi="en-US"/>
        </w:rPr>
        <w:t>Zhodnocení souladu navrhované právní úpravy se zákonem, k jehož provedení je navržena</w:t>
      </w:r>
    </w:p>
    <w:p w:rsidR="003E361F" w:rsidRPr="00EC1DAD" w:rsidRDefault="00FB31C5" w:rsidP="003E361F">
      <w:pPr>
        <w:rPr>
          <w:rFonts w:eastAsiaTheme="majorEastAsia"/>
          <w:lang w:bidi="en-US"/>
        </w:rPr>
      </w:pPr>
      <w:r w:rsidRPr="00EC1DAD">
        <w:rPr>
          <w:rFonts w:eastAsiaTheme="majorEastAsia"/>
          <w:lang w:bidi="en-US"/>
        </w:rPr>
        <w:t>Zákonné zmocnění k vydání navrhované vyhlášky je obsaženo v § 13 odst. 4, § 14 odst. 6, § 16 odst. 5, § 18 odst. 11, § 29 odst. 2, § 39 odst. 14 a § 40 odst. 10 zákona o odpadech, ve znění pozdějších předpisů včetně navrhované novely. Navrhovaná právní úprava je s uvedeným zákonným zmocněním, jakož i se zákonem o odpadech jako celkem, plně v souladu.</w:t>
      </w:r>
    </w:p>
    <w:p w:rsidR="00C63D09" w:rsidRPr="00EC1DAD" w:rsidRDefault="00D231B0" w:rsidP="00C63D09">
      <w:pPr>
        <w:pStyle w:val="Podtitul"/>
        <w:rPr>
          <w:rFonts w:eastAsiaTheme="majorEastAsia"/>
          <w:lang w:bidi="en-US"/>
        </w:rPr>
      </w:pPr>
      <w:r w:rsidRPr="00EC1DAD">
        <w:rPr>
          <w:rFonts w:eastAsiaTheme="majorEastAsia"/>
          <w:lang w:bidi="en-US"/>
        </w:rPr>
        <w:t>Z</w:t>
      </w:r>
      <w:r w:rsidR="004E63B0" w:rsidRPr="00EC1DAD">
        <w:rPr>
          <w:rFonts w:eastAsiaTheme="majorEastAsia"/>
          <w:lang w:bidi="en-US"/>
        </w:rPr>
        <w:t>hodnocení souladu navrhované právní úpravy s předpisy Evropské unie a</w:t>
      </w:r>
      <w:r w:rsidR="00156975" w:rsidRPr="00EC1DAD">
        <w:rPr>
          <w:rFonts w:eastAsiaTheme="majorEastAsia"/>
          <w:lang w:bidi="en-US"/>
        </w:rPr>
        <w:t> </w:t>
      </w:r>
      <w:r w:rsidR="004E63B0" w:rsidRPr="00EC1DAD">
        <w:rPr>
          <w:rFonts w:eastAsiaTheme="majorEastAsia"/>
          <w:lang w:bidi="en-US"/>
        </w:rPr>
        <w:t>obecnými právními zásadami práva Evropské unie</w:t>
      </w:r>
    </w:p>
    <w:p w:rsidR="00FB31C5" w:rsidRPr="00EC1DAD" w:rsidRDefault="00FB31C5" w:rsidP="00FB31C5">
      <w:pPr>
        <w:rPr>
          <w:rFonts w:eastAsiaTheme="majorEastAsia"/>
          <w:lang w:bidi="en-US"/>
        </w:rPr>
      </w:pPr>
      <w:r w:rsidRPr="00EC1DAD">
        <w:rPr>
          <w:rFonts w:eastAsiaTheme="majorEastAsia"/>
          <w:lang w:bidi="en-US"/>
        </w:rPr>
        <w:t xml:space="preserve">V důsledku tzv. </w:t>
      </w:r>
      <w:proofErr w:type="spellStart"/>
      <w:r w:rsidRPr="00EC1DAD">
        <w:rPr>
          <w:rFonts w:eastAsiaTheme="majorEastAsia"/>
          <w:lang w:bidi="en-US"/>
        </w:rPr>
        <w:t>infringementového</w:t>
      </w:r>
      <w:proofErr w:type="spellEnd"/>
      <w:r w:rsidRPr="00EC1DAD">
        <w:rPr>
          <w:rFonts w:eastAsiaTheme="majorEastAsia"/>
          <w:lang w:bidi="en-US"/>
        </w:rPr>
        <w:t xml:space="preserve"> řízení transponuje návrh vyhlášky některá ustanovení směrnice Evropského parlamentu a Rady (ES) č. 98/2008 ze dne 19. listopadu 2008 o odpadech a o zrušení některých směrnic. Jedná se o ustanovení upravující náležitosti souhlasu k provozování zařízení k nakládání s odpady, konkrétně kapacity takového zařízení, a opatření pro ukončení jeho provozu a následné péče. </w:t>
      </w:r>
    </w:p>
    <w:p w:rsidR="00FB31C5" w:rsidRPr="00EC1DAD" w:rsidRDefault="00FB31C5" w:rsidP="00FB31C5">
      <w:pPr>
        <w:rPr>
          <w:rFonts w:eastAsiaTheme="majorEastAsia"/>
          <w:lang w:bidi="en-US"/>
        </w:rPr>
      </w:pPr>
      <w:r w:rsidRPr="00EC1DAD">
        <w:rPr>
          <w:rFonts w:eastAsiaTheme="majorEastAsia"/>
          <w:lang w:bidi="en-US"/>
        </w:rPr>
        <w:t>Dále návrh vyhlášky provádí adaptaci na přímo použitelný předpis Evropské unie, který stanoví nebezpečné vlastnosti odpadů. Jedná se o nařízení Komise EU č. 1357/2014 ze dne 18. prosince 2014, kterým se nahrazuje příloha III směrnice Evropského parlamentu a Rady ES č. 98/2008 ze dne 19. listopadu 2008 o odpadech a o zrušení některých směrnic. Návrh vyhlášky mění ustanovení týkající se způsobu a rozsahu označování nebezpečných odpadů, identifikačních listů nebezpečných odpadů a shromažďování nebezpečných odpadů.</w:t>
      </w:r>
      <w:r w:rsidR="000E18C0" w:rsidRPr="00EC1DAD">
        <w:rPr>
          <w:rFonts w:eastAsiaTheme="majorEastAsia"/>
          <w:lang w:bidi="en-US"/>
        </w:rPr>
        <w:t xml:space="preserve"> Pro označování jsou využity symboly podle </w:t>
      </w:r>
      <w:r w:rsidR="0029596B" w:rsidRPr="00EC1DAD">
        <w:rPr>
          <w:rFonts w:eastAsiaTheme="majorEastAsia"/>
          <w:lang w:bidi="en-US"/>
        </w:rPr>
        <w:t>Nařízení Evropského parlamentu a Rady (ES) č.</w:t>
      </w:r>
      <w:r w:rsidR="00F142E5">
        <w:rPr>
          <w:rFonts w:eastAsiaTheme="majorEastAsia"/>
          <w:lang w:bidi="en-US"/>
        </w:rPr>
        <w:t> </w:t>
      </w:r>
      <w:r w:rsidR="0029596B" w:rsidRPr="00EC1DAD">
        <w:rPr>
          <w:rFonts w:eastAsiaTheme="majorEastAsia"/>
          <w:lang w:bidi="en-US"/>
        </w:rPr>
        <w:t>1272/2008 ze dne 16. prosince 2008 o klasifikaci, označování a balení látek a směsí, o</w:t>
      </w:r>
      <w:r w:rsidR="00F142E5">
        <w:rPr>
          <w:rFonts w:eastAsiaTheme="majorEastAsia"/>
          <w:lang w:bidi="en-US"/>
        </w:rPr>
        <w:t> </w:t>
      </w:r>
      <w:r w:rsidR="0029596B" w:rsidRPr="00EC1DAD">
        <w:rPr>
          <w:rFonts w:eastAsiaTheme="majorEastAsia"/>
          <w:lang w:bidi="en-US"/>
        </w:rPr>
        <w:t>změně a zrušení směrnic 67/548/EHS a 1999/45/ES a o změně nařízení (ES) č.</w:t>
      </w:r>
      <w:r w:rsidR="00F142E5">
        <w:rPr>
          <w:rFonts w:eastAsiaTheme="majorEastAsia"/>
          <w:lang w:bidi="en-US"/>
        </w:rPr>
        <w:t> </w:t>
      </w:r>
      <w:r w:rsidR="0029596B" w:rsidRPr="00EC1DAD">
        <w:rPr>
          <w:rFonts w:eastAsiaTheme="majorEastAsia"/>
          <w:lang w:bidi="en-US"/>
        </w:rPr>
        <w:t>1907/2006, jejich využití je však přizpůsobeno pro oblast odpadů.</w:t>
      </w:r>
      <w:r w:rsidR="000E18C0" w:rsidRPr="00EC1DAD">
        <w:rPr>
          <w:rFonts w:eastAsiaTheme="majorEastAsia"/>
          <w:lang w:bidi="en-US"/>
        </w:rPr>
        <w:t xml:space="preserve"> </w:t>
      </w:r>
    </w:p>
    <w:p w:rsidR="00C63D09" w:rsidRPr="00EC1DAD" w:rsidRDefault="00FB31C5" w:rsidP="00FB31C5">
      <w:pPr>
        <w:rPr>
          <w:rFonts w:eastAsiaTheme="majorEastAsia"/>
          <w:lang w:bidi="en-US"/>
        </w:rPr>
      </w:pPr>
      <w:r w:rsidRPr="00EC1DAD">
        <w:rPr>
          <w:rFonts w:eastAsiaTheme="majorEastAsia"/>
          <w:lang w:bidi="en-US"/>
        </w:rPr>
        <w:t>Navrhovaná právní úprava je tak plně v souladu s předpisy Evropské unie.</w:t>
      </w:r>
    </w:p>
    <w:p w:rsidR="00C63D09" w:rsidRPr="00EC1DAD" w:rsidRDefault="00C63D09" w:rsidP="00C05531">
      <w:pPr>
        <w:pStyle w:val="Podtitul"/>
        <w:rPr>
          <w:rFonts w:eastAsiaTheme="majorEastAsia"/>
          <w:lang w:bidi="en-US"/>
        </w:rPr>
      </w:pPr>
      <w:r w:rsidRPr="00EC1DAD">
        <w:rPr>
          <w:rFonts w:eastAsiaTheme="majorEastAsia"/>
          <w:lang w:bidi="en-US"/>
        </w:rPr>
        <w:t>Zhodnocení platného právního stavu a odůvodnění nezbytnosti jeho změny</w:t>
      </w:r>
    </w:p>
    <w:p w:rsidR="00FB31C5" w:rsidRPr="00EC1DAD" w:rsidRDefault="00FB31C5" w:rsidP="00FB31C5">
      <w:pPr>
        <w:rPr>
          <w:rFonts w:eastAsiaTheme="majorEastAsia"/>
          <w:lang w:bidi="en-US"/>
        </w:rPr>
      </w:pPr>
      <w:r w:rsidRPr="00EC1DAD">
        <w:rPr>
          <w:rFonts w:eastAsiaTheme="majorEastAsia"/>
          <w:lang w:bidi="en-US"/>
        </w:rPr>
        <w:t xml:space="preserve">Vyhlášku je nezbytné novelizovat v návaznosti na </w:t>
      </w:r>
      <w:r w:rsidR="000D549F">
        <w:rPr>
          <w:rFonts w:eastAsiaTheme="majorEastAsia"/>
          <w:lang w:bidi="en-US"/>
        </w:rPr>
        <w:t>novelizační zákon č. 223/2015 Sb., kterým se mění zákon o odpadech</w:t>
      </w:r>
      <w:r w:rsidRPr="00EC1DAD">
        <w:rPr>
          <w:rFonts w:eastAsiaTheme="majorEastAsia"/>
          <w:lang w:bidi="en-US"/>
        </w:rPr>
        <w:t>.</w:t>
      </w:r>
    </w:p>
    <w:p w:rsidR="00FB31C5" w:rsidRPr="00EC1DAD" w:rsidRDefault="00FB31C5" w:rsidP="00FB31C5">
      <w:pPr>
        <w:rPr>
          <w:rFonts w:eastAsiaTheme="majorEastAsia"/>
          <w:lang w:bidi="en-US"/>
        </w:rPr>
      </w:pPr>
      <w:r w:rsidRPr="00EC1DAD">
        <w:rPr>
          <w:rFonts w:eastAsiaTheme="majorEastAsia"/>
          <w:lang w:bidi="en-US"/>
        </w:rPr>
        <w:t xml:space="preserve">Oblast sběru a výkupu kovových odpadů je nyní upravena v § 18 zákona a § 8 vyhlášky, které upravují nástroje umožňující lepší identifikaci předávajících osob, zákaz výkupu vymezených předmětů od fyzických osob a zákaz platby v hotovosti za vymezené druhy odpadů. Přesto se stále objevují snahy o zařazení předávaného rizikového odpadu pod jiné druhy odpadů, které nejsou v § 8 vyhlášky uvedeny. Z tohoto důvodu je třeba rozšířit seznam odpadů, na které se vztahují výše uvedené povinnosti. </w:t>
      </w:r>
    </w:p>
    <w:p w:rsidR="00FB31C5" w:rsidRPr="00EC1DAD" w:rsidRDefault="00FB31C5" w:rsidP="00FB31C5">
      <w:pPr>
        <w:rPr>
          <w:rFonts w:eastAsiaTheme="majorEastAsia"/>
          <w:lang w:bidi="en-US"/>
        </w:rPr>
      </w:pPr>
      <w:r w:rsidRPr="00EC1DAD">
        <w:rPr>
          <w:rFonts w:eastAsiaTheme="majorEastAsia"/>
          <w:lang w:bidi="en-US"/>
        </w:rPr>
        <w:t>Povinnost provozovatele skládky zasílat hlášení o poplatcích za ukládání odpadů na skládky je v současné době stanovena Programem statistických zjišťování. Hlášení je zasíláno České informační agentuře životního prostředí (CENIA) v papírové podobě nebo prostřednictvím datové schránky. Novelou zákona o od</w:t>
      </w:r>
      <w:r w:rsidR="002A557B">
        <w:rPr>
          <w:rFonts w:eastAsiaTheme="majorEastAsia"/>
          <w:lang w:bidi="en-US"/>
        </w:rPr>
        <w:t>padech je zajištěn převod tohoto</w:t>
      </w:r>
      <w:r w:rsidRPr="00EC1DAD">
        <w:rPr>
          <w:rFonts w:eastAsiaTheme="majorEastAsia"/>
          <w:lang w:bidi="en-US"/>
        </w:rPr>
        <w:t xml:space="preserve"> statistického zjišťování do působnosti zákona o odpadech. Je třeba, aby vyhláška stanovila </w:t>
      </w:r>
      <w:r w:rsidRPr="00EC1DAD">
        <w:rPr>
          <w:rFonts w:eastAsiaTheme="majorEastAsia"/>
          <w:lang w:bidi="en-US"/>
        </w:rPr>
        <w:lastRenderedPageBreak/>
        <w:t xml:space="preserve">rozsah ohlašovaných údajů a zavedla takový způsob zasílání hlášení, který bude administrativně nejjednodušší a nejlevnější. </w:t>
      </w:r>
    </w:p>
    <w:p w:rsidR="00C63D09" w:rsidRPr="00EC1DAD" w:rsidRDefault="00FB31C5" w:rsidP="00FB31C5">
      <w:pPr>
        <w:rPr>
          <w:rFonts w:eastAsiaTheme="majorEastAsia"/>
          <w:lang w:bidi="en-US"/>
        </w:rPr>
      </w:pPr>
      <w:r w:rsidRPr="00EC1DAD">
        <w:rPr>
          <w:rFonts w:eastAsiaTheme="majorEastAsia"/>
          <w:lang w:bidi="en-US"/>
        </w:rPr>
        <w:t xml:space="preserve">V praxi jsou zařízením pro nakládání s odpady identifikační čísla zařízení přidělována již nyní, tento úkon však nemá legislativní oporu. Je tedy třeba v návaznosti na </w:t>
      </w:r>
      <w:r w:rsidR="000D549F">
        <w:rPr>
          <w:rFonts w:eastAsiaTheme="majorEastAsia"/>
          <w:lang w:bidi="en-US"/>
        </w:rPr>
        <w:t>novelizační zákon č. 223/2015 Sb., kterým se mění zákon o odpadech</w:t>
      </w:r>
      <w:r w:rsidR="000D549F" w:rsidRPr="00EC1DAD" w:rsidDel="000D549F">
        <w:rPr>
          <w:rFonts w:eastAsiaTheme="majorEastAsia"/>
          <w:lang w:bidi="en-US"/>
        </w:rPr>
        <w:t xml:space="preserve"> </w:t>
      </w:r>
      <w:r w:rsidRPr="00EC1DAD">
        <w:rPr>
          <w:rFonts w:eastAsiaTheme="majorEastAsia"/>
          <w:lang w:bidi="en-US"/>
        </w:rPr>
        <w:t xml:space="preserve">stanovit podmínky přidělování identifikačních čísel zařízení. </w:t>
      </w:r>
      <w:r w:rsidR="002A557B">
        <w:rPr>
          <w:rFonts w:eastAsiaTheme="majorEastAsia"/>
          <w:lang w:bidi="en-US"/>
        </w:rPr>
        <w:t>Provozovatelé zařízení, která</w:t>
      </w:r>
      <w:r w:rsidRPr="00EC1DAD">
        <w:rPr>
          <w:rFonts w:eastAsiaTheme="majorEastAsia"/>
          <w:lang w:bidi="en-US"/>
        </w:rPr>
        <w:t xml:space="preserve"> doposud nemají přidělené identifikační číslo zařízení, budou muset na základě přechodného ustanovení novely zákona o odpadech jednorázově ohlásit příslušnému k</w:t>
      </w:r>
      <w:r w:rsidR="002A557B">
        <w:rPr>
          <w:rFonts w:eastAsiaTheme="majorEastAsia"/>
          <w:lang w:bidi="en-US"/>
        </w:rPr>
        <w:t xml:space="preserve">rajskému úřadu provoz zařízení, tím je ze zákona nahrazena povinnost o identifikační číslo zařízení požádat. </w:t>
      </w:r>
      <w:r w:rsidRPr="00EC1DAD">
        <w:rPr>
          <w:rFonts w:eastAsiaTheme="majorEastAsia"/>
          <w:lang w:bidi="en-US"/>
        </w:rPr>
        <w:t xml:space="preserve"> </w:t>
      </w:r>
    </w:p>
    <w:p w:rsidR="0082789C" w:rsidRPr="00EC1DAD" w:rsidRDefault="00AA74EC" w:rsidP="00C05531">
      <w:pPr>
        <w:pStyle w:val="Podtitul"/>
        <w:rPr>
          <w:rFonts w:eastAsiaTheme="majorEastAsia"/>
          <w:lang w:bidi="en-US"/>
        </w:rPr>
      </w:pPr>
      <w:r w:rsidRPr="00EC1DAD">
        <w:t>Předpokládaný hospodářský a finanční dosah navrhované právní úpravy na státní rozpočet, ostatní veřejné rozpočty, na podnikatelské prostředí České republiky, dále sociální dopady, včetně dopadů na specifické skupiny obyvatel, zejména osoby sociálně slabé, osoby se zdravotním postižením a národnostní menšiny, a dopady na životní prostředí</w:t>
      </w:r>
    </w:p>
    <w:p w:rsidR="000D42E4" w:rsidRPr="00EC1DAD" w:rsidRDefault="00AA74EC" w:rsidP="00402094">
      <w:pPr>
        <w:pStyle w:val="Nzev"/>
        <w:numPr>
          <w:ilvl w:val="0"/>
          <w:numId w:val="0"/>
        </w:numPr>
        <w:rPr>
          <w:sz w:val="28"/>
          <w:lang w:bidi="en-US"/>
        </w:rPr>
      </w:pPr>
      <w:r w:rsidRPr="00EC1DAD">
        <w:rPr>
          <w:sz w:val="28"/>
          <w:lang w:bidi="en-US"/>
        </w:rPr>
        <w:t>Z</w:t>
      </w:r>
      <w:r w:rsidR="001D7DA7" w:rsidRPr="00EC1DAD">
        <w:rPr>
          <w:sz w:val="28"/>
          <w:lang w:bidi="en-US"/>
        </w:rPr>
        <w:t>ávěrečná</w:t>
      </w:r>
      <w:r w:rsidR="000D42E4" w:rsidRPr="00EC1DAD">
        <w:rPr>
          <w:sz w:val="28"/>
          <w:lang w:bidi="en-US"/>
        </w:rPr>
        <w:t xml:space="preserve"> zpráva z hodnocení dopadů regulace</w:t>
      </w:r>
    </w:p>
    <w:p w:rsidR="00CF4971" w:rsidRPr="00EC1DAD" w:rsidRDefault="00CF4971" w:rsidP="00CF4971">
      <w:pPr>
        <w:pStyle w:val="Nadpis1"/>
        <w:ind w:left="432" w:hanging="432"/>
        <w:rPr>
          <w:rFonts w:cs="Arial"/>
          <w:szCs w:val="22"/>
        </w:rPr>
      </w:pPr>
      <w:r w:rsidRPr="00EC1DAD">
        <w:rPr>
          <w:rFonts w:cs="Arial"/>
          <w:szCs w:val="22"/>
        </w:rPr>
        <w:t xml:space="preserve">Nové </w:t>
      </w:r>
      <w:r w:rsidRPr="00EC1DAD">
        <w:rPr>
          <w:rFonts w:cs="Arial"/>
          <w:bCs w:val="0"/>
          <w:kern w:val="0"/>
          <w:szCs w:val="22"/>
        </w:rPr>
        <w:t>vymezení odpadů - kovové odpady</w:t>
      </w:r>
    </w:p>
    <w:p w:rsidR="00667F06" w:rsidRPr="00EC1DAD" w:rsidRDefault="00667F06" w:rsidP="00667F06">
      <w:pPr>
        <w:pStyle w:val="Nadpis2"/>
      </w:pPr>
      <w:r w:rsidRPr="00EC1DAD">
        <w:t>Důvod předložení a cíle</w:t>
      </w:r>
    </w:p>
    <w:p w:rsidR="00667F06" w:rsidRPr="00EC1DAD" w:rsidRDefault="00667F06" w:rsidP="00667F06">
      <w:pPr>
        <w:pStyle w:val="Nadpis3"/>
      </w:pPr>
      <w:r w:rsidRPr="00EC1DAD">
        <w:t>Definice problému</w:t>
      </w:r>
    </w:p>
    <w:p w:rsidR="00CF4971" w:rsidRPr="00EC1DAD" w:rsidRDefault="00CF4971" w:rsidP="00CF4971">
      <w:r w:rsidRPr="00EC1DAD">
        <w:t>S výkupem odpadů je v České republice dlouhodobě spojen problém výskytu krádeží kovů. Osoby, které předávají kovové odpady do zařízení ke sběru a výkupu odpadů, se při získávání kovových předmětů dopouštějí řady trestných činů od krádeží, poškození cizí věci, ohrožení provozu obecně prospěšného zařízení až po obecné ohrožení. Důležitým problémem je možnost zpětného prokázání provádění takovéto trestné činnosti. V České republice tak k důslednému uplatňování trestněprávní odpovědnosti nedochází a rozsah trestné činnosti v dané oblasti neklesá. Statistiky Policie ČR ukazují, že například v letech 2010 a 2011 došlo k více než dvojnásobnému nárůstu trestné činnosti související s nelegálním získáváním kovů. Trestná činnost spojená s výkupem kovů v současné době přináší značné škody zejména na obecně prospěšných zařízeních, které mnohonásobně převyšují cenu kovového odpadu. Za rok 2014 eviduje Policie ČR celkem 7 646 krádeží kovových předmětů v celkové hodnotě cca 305 mil. Kč.</w:t>
      </w:r>
    </w:p>
    <w:p w:rsidR="00CF4971" w:rsidRPr="00EC1DAD" w:rsidRDefault="00CF4971" w:rsidP="00CF4971">
      <w:pPr>
        <w:pStyle w:val="Titulek"/>
        <w:keepNext/>
        <w:rPr>
          <w:rFonts w:cs="Arial"/>
        </w:rPr>
      </w:pPr>
      <w:r w:rsidRPr="00EC1DAD">
        <w:rPr>
          <w:rFonts w:cs="Arial"/>
        </w:rPr>
        <w:t xml:space="preserve">Tabulka </w:t>
      </w:r>
      <w:r w:rsidR="002A5461" w:rsidRPr="00EC1DAD">
        <w:rPr>
          <w:rFonts w:cs="Arial"/>
        </w:rPr>
        <w:fldChar w:fldCharType="begin"/>
      </w:r>
      <w:r w:rsidRPr="00EC1DAD">
        <w:rPr>
          <w:rFonts w:cs="Arial"/>
        </w:rPr>
        <w:instrText xml:space="preserve"> SEQ Tabulka \* ARABIC </w:instrText>
      </w:r>
      <w:r w:rsidR="002A5461" w:rsidRPr="00EC1DAD">
        <w:rPr>
          <w:rFonts w:cs="Arial"/>
        </w:rPr>
        <w:fldChar w:fldCharType="separate"/>
      </w:r>
      <w:r w:rsidR="006F7321">
        <w:rPr>
          <w:rFonts w:cs="Arial"/>
          <w:noProof/>
        </w:rPr>
        <w:t>1</w:t>
      </w:r>
      <w:r w:rsidR="002A5461" w:rsidRPr="00EC1DAD">
        <w:rPr>
          <w:rFonts w:cs="Arial"/>
          <w:noProof/>
        </w:rPr>
        <w:fldChar w:fldCharType="end"/>
      </w:r>
      <w:r w:rsidRPr="00EC1DAD">
        <w:rPr>
          <w:rFonts w:cs="Arial"/>
        </w:rPr>
        <w:t>: Počty krádeží kovových předmětů v jednotlivých letech 2003-2011 (zdroj: PČR)</w:t>
      </w:r>
    </w:p>
    <w:p w:rsidR="00CF4971" w:rsidRPr="00EC1DAD" w:rsidRDefault="00CF4971" w:rsidP="00CF4971">
      <w:pPr>
        <w:rPr>
          <w:rFonts w:cs="Arial"/>
        </w:rPr>
      </w:pPr>
      <w:r w:rsidRPr="00EC1DAD">
        <w:rPr>
          <w:rFonts w:cs="Arial"/>
          <w:noProof/>
          <w:lang w:eastAsia="cs-CZ"/>
        </w:rPr>
        <w:drawing>
          <wp:inline distT="0" distB="0" distL="0" distR="0">
            <wp:extent cx="5764530" cy="532765"/>
            <wp:effectExtent l="0" t="0" r="7620" b="635"/>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4530" cy="532765"/>
                    </a:xfrm>
                    <a:prstGeom prst="rect">
                      <a:avLst/>
                    </a:prstGeom>
                    <a:noFill/>
                    <a:ln>
                      <a:noFill/>
                    </a:ln>
                  </pic:spPr>
                </pic:pic>
              </a:graphicData>
            </a:graphic>
          </wp:inline>
        </w:drawing>
      </w:r>
    </w:p>
    <w:p w:rsidR="00667F06" w:rsidRPr="00EC1DAD" w:rsidRDefault="00CF4971" w:rsidP="00CF4971">
      <w:r w:rsidRPr="00EC1DAD">
        <w:t xml:space="preserve">Zákon č. 185/2001 Sb., o odpadech (dále jen „zákon“) a prováděcí vyhláška č. 383/2001 Sb., o podrobnostech nakládání s odpady (dále jen „vyhláška“) obsahují nástroje, které u vymezených odpadů umožňují lepší identifikaci případných pachatelů a znemožňují nelegální nakládání s odpady. Rozšíření okruhu odpadů, které je zakázáno vykupovat v hotovosti, provedené poslední novelizací vyhlášky mělo okamžitý vliv na pokles kriminality spojené s výkupem kovových odpadů. Přesto se objevily snahy o zařazení přijímaných </w:t>
      </w:r>
      <w:r w:rsidRPr="00EC1DAD">
        <w:lastRenderedPageBreak/>
        <w:t>odpadů pod jiné druhy odpadů, které nejsou v § 8 odst. 2 vyhlášky vymezeny, zároveň Ministerstvo životního prostředí (dále jen „MŽP“) vyhodnotilo další rizikové druhy odpadů, u kterých je nezbytná aplikace přísnějšího postupu při jejich výkupu.</w:t>
      </w:r>
    </w:p>
    <w:p w:rsidR="00667F06" w:rsidRPr="00EC1DAD" w:rsidRDefault="00667F06" w:rsidP="00667F06">
      <w:pPr>
        <w:pStyle w:val="Nadpis3"/>
      </w:pPr>
      <w:r w:rsidRPr="00EC1DAD">
        <w:t>Popis existujícího právního stavu v dané oblasti</w:t>
      </w:r>
    </w:p>
    <w:p w:rsidR="00667F06" w:rsidRPr="00EC1DAD" w:rsidRDefault="00CF4971" w:rsidP="00A34F9B">
      <w:r w:rsidRPr="00EC1DAD">
        <w:t>Současné nastavení § 18 zákona a § 8 vyhlášky obsahuje nástroje pro omezení výkupu kovů pocházejících z trestné činnosti, jako je povinná identifikace předávajících osob, zákaz výkupu vymezených předmětů od fyzických osob nebo zákaz platby za vymezené druhy odpadů v hotovosti. Odpady, při jejichž odběru je provozovatel zařízení povinen identifikovat odpady a osoby, které odpad předávají, jsou vymezeny v § 8 odst. 2 vyhlášky. Odpady, které není možné vykupovat od fyzických osob, jsou vymezeny v § 8 odst. 5 vyhlášky. Jedná se o odpady mající povahu uměleckého díla nebo jeho části, pietního nebo bohoslužebného předmětu nebo jeho části, průmyslového strojního zařízení nebo jeho části, obecně prospěšného zařízení nebo jeho části, zejména zařízení pro hromadnou dopravu, dopravního značení, součásti nebo příslušenství veřejného prostranství a pozemních komunikací a energetické, vodárenské nebo kanalizační zařízení, nebo části vybraného výrobku, vybraného odpadu a vybraného zařízení podle § 25 odst. 1 písm. c) a h) zákona. S ohledem na text § 18 zákona se považují všechny odpady vymezené v § 8 odst. 2 a 5 vyhlášky za odpady, za něž není možné poskytovat úhradu v hotovosti.</w:t>
      </w:r>
    </w:p>
    <w:p w:rsidR="00667F06" w:rsidRPr="00EC1DAD" w:rsidRDefault="00667F06" w:rsidP="00667F06">
      <w:pPr>
        <w:pStyle w:val="Nadpis3"/>
      </w:pPr>
      <w:r w:rsidRPr="00EC1DAD">
        <w:t>Identifikace dotčených subjektů</w:t>
      </w:r>
    </w:p>
    <w:p w:rsidR="00CF4971" w:rsidRPr="00EC1DAD" w:rsidRDefault="00CF4971" w:rsidP="00CF4971">
      <w:pPr>
        <w:pStyle w:val="Odstavecseseznamem"/>
        <w:numPr>
          <w:ilvl w:val="0"/>
          <w:numId w:val="15"/>
        </w:numPr>
        <w:spacing w:after="0"/>
        <w:rPr>
          <w:rFonts w:cs="Arial"/>
        </w:rPr>
      </w:pPr>
      <w:r w:rsidRPr="00EC1DAD">
        <w:rPr>
          <w:rFonts w:cs="Arial"/>
        </w:rPr>
        <w:t>původci odpadů,</w:t>
      </w:r>
    </w:p>
    <w:p w:rsidR="00CF4971" w:rsidRPr="00EC1DAD" w:rsidRDefault="00CF4971" w:rsidP="00CF4971">
      <w:pPr>
        <w:pStyle w:val="Odstavecseseznamem"/>
        <w:numPr>
          <w:ilvl w:val="0"/>
          <w:numId w:val="15"/>
        </w:numPr>
        <w:spacing w:after="0"/>
        <w:rPr>
          <w:rFonts w:cs="Arial"/>
        </w:rPr>
      </w:pPr>
      <w:r w:rsidRPr="00EC1DAD">
        <w:rPr>
          <w:rFonts w:cs="Arial"/>
        </w:rPr>
        <w:t>fyzické osoby odevzdávající odpady do sběren odpadů,</w:t>
      </w:r>
    </w:p>
    <w:p w:rsidR="00CF4971" w:rsidRPr="00EC1DAD" w:rsidRDefault="00CF4971" w:rsidP="00CF4971">
      <w:pPr>
        <w:pStyle w:val="Odstavecseseznamem"/>
        <w:numPr>
          <w:ilvl w:val="0"/>
          <w:numId w:val="15"/>
        </w:numPr>
        <w:spacing w:after="0"/>
        <w:rPr>
          <w:rFonts w:cs="Arial"/>
        </w:rPr>
      </w:pPr>
      <w:r w:rsidRPr="00EC1DAD">
        <w:rPr>
          <w:rFonts w:cs="Arial"/>
        </w:rPr>
        <w:t>provozovatelé zařízení ke sběru a výkupu odpadů,</w:t>
      </w:r>
    </w:p>
    <w:p w:rsidR="00CF4971" w:rsidRPr="00EC1DAD" w:rsidRDefault="00CF4971" w:rsidP="00CF4971">
      <w:pPr>
        <w:pStyle w:val="Odstavecseseznamem"/>
        <w:numPr>
          <w:ilvl w:val="0"/>
          <w:numId w:val="15"/>
        </w:numPr>
        <w:spacing w:after="0"/>
        <w:rPr>
          <w:rFonts w:cs="Arial"/>
        </w:rPr>
      </w:pPr>
      <w:r w:rsidRPr="00EC1DAD">
        <w:rPr>
          <w:rFonts w:cs="Arial"/>
        </w:rPr>
        <w:t>územní samosprávné celky (obce, kraje),</w:t>
      </w:r>
    </w:p>
    <w:p w:rsidR="00667F06" w:rsidRDefault="00CF4971" w:rsidP="00CF4971">
      <w:pPr>
        <w:pStyle w:val="Odstavecseseznamem"/>
        <w:numPr>
          <w:ilvl w:val="0"/>
          <w:numId w:val="15"/>
        </w:numPr>
        <w:spacing w:after="0"/>
        <w:rPr>
          <w:rFonts w:cs="Arial"/>
        </w:rPr>
      </w:pPr>
      <w:r w:rsidRPr="00EC1DAD">
        <w:rPr>
          <w:rFonts w:cs="Arial"/>
        </w:rPr>
        <w:t>veřejnost</w:t>
      </w:r>
      <w:r w:rsidR="00641028">
        <w:rPr>
          <w:rFonts w:cs="Arial"/>
        </w:rPr>
        <w:t>,</w:t>
      </w:r>
    </w:p>
    <w:p w:rsidR="00641028" w:rsidRDefault="00641028">
      <w:pPr>
        <w:pStyle w:val="Odstavecseseznamem"/>
        <w:numPr>
          <w:ilvl w:val="0"/>
          <w:numId w:val="15"/>
        </w:numPr>
        <w:spacing w:after="0"/>
        <w:rPr>
          <w:rFonts w:cs="Arial"/>
        </w:rPr>
      </w:pPr>
      <w:r>
        <w:rPr>
          <w:rFonts w:cs="Arial"/>
        </w:rPr>
        <w:t>Policie České republiky (PČR).</w:t>
      </w:r>
    </w:p>
    <w:p w:rsidR="00E420F3" w:rsidRDefault="00641028">
      <w:pPr>
        <w:spacing w:before="120"/>
        <w:rPr>
          <w:rFonts w:cs="Arial"/>
        </w:rPr>
      </w:pPr>
      <w:r w:rsidRPr="00641028">
        <w:t>Identifikace dotčených subjektů vychází z praxe a zkušeností pracovníků odboru odpadů Ministerstva životního prostředí. Případná změna legislativy bude mít na výše uvedené subjekty přímý dopad.</w:t>
      </w:r>
    </w:p>
    <w:p w:rsidR="00667F06" w:rsidRPr="00EC1DAD" w:rsidRDefault="00667F06" w:rsidP="00667F06">
      <w:pPr>
        <w:pStyle w:val="Nadpis3"/>
      </w:pPr>
      <w:r w:rsidRPr="00EC1DAD">
        <w:t>Popis cílového stavu</w:t>
      </w:r>
    </w:p>
    <w:p w:rsidR="00667F06" w:rsidRPr="00EC1DAD" w:rsidRDefault="00CF4971" w:rsidP="00667F06">
      <w:r w:rsidRPr="00EC1DAD">
        <w:t>Zlepšení kontroly výkupu kovových odpadů a snížení rizik souvisejících s trestnou činností spojenou s krádežemi kovových předmětů a jejich prodeje jako kovového odpadu do zařízení ke sběru a výkupu odpadů.</w:t>
      </w:r>
    </w:p>
    <w:p w:rsidR="00667F06" w:rsidRPr="00EC1DAD" w:rsidRDefault="00667F06" w:rsidP="00667F06">
      <w:pPr>
        <w:pStyle w:val="Nadpis3"/>
      </w:pPr>
      <w:r w:rsidRPr="00EC1DAD">
        <w:t>Zhodnocení rizika</w:t>
      </w:r>
    </w:p>
    <w:p w:rsidR="00667F06" w:rsidRPr="00EC1DAD" w:rsidRDefault="00CF4971" w:rsidP="00667F06">
      <w:r w:rsidRPr="00EC1DAD">
        <w:rPr>
          <w:rFonts w:cs="Arial"/>
        </w:rPr>
        <w:t>Nadále existující faktická nemožnost zpětně prokázat trestnou činnost konkrétních osob, které odcizují kovové předměty a prodávají je jako odpad do zařízení ke sběru a výkupu odpadů, u odpadů, na které se doposud nevztahuje přísnější regulace podle § 18 zákona a § 8 vyhlášky, přičemž tyto odpady spadají do okruhu rizikových kovových odpadů.</w:t>
      </w:r>
    </w:p>
    <w:p w:rsidR="00667F06" w:rsidRPr="00EC1DAD" w:rsidRDefault="00667F06" w:rsidP="00667F06">
      <w:pPr>
        <w:pStyle w:val="Nadpis2"/>
      </w:pPr>
      <w:r w:rsidRPr="00EC1DAD">
        <w:lastRenderedPageBreak/>
        <w:t>Návrh variant řešení</w:t>
      </w:r>
    </w:p>
    <w:p w:rsidR="00667F06" w:rsidRPr="00EC1DAD" w:rsidRDefault="00667F06" w:rsidP="00667F06">
      <w:pPr>
        <w:pStyle w:val="Nadpis3"/>
      </w:pPr>
      <w:r w:rsidRPr="00EC1DAD">
        <w:t>Varianta 0</w:t>
      </w:r>
    </w:p>
    <w:p w:rsidR="00CF4971" w:rsidRPr="00EC1DAD" w:rsidRDefault="00CF4971" w:rsidP="00CF4971">
      <w:r w:rsidRPr="00EC1DAD">
        <w:t>Zachování aktuálního stavu nastavení rozsahu odpadů, na něž se vztahuje povinnost provádět identifikaci osob odevzdávajících odpady do zařízení a povinnost provádět platbu pouze způsobem stanoveným zákonem o odpadech.</w:t>
      </w:r>
    </w:p>
    <w:p w:rsidR="00CF4971" w:rsidRPr="00EC1DAD" w:rsidRDefault="00CF4971" w:rsidP="00CF4971">
      <w:r w:rsidRPr="00EC1DAD">
        <w:t>(2) Provozovatel zařízení ke sběru nebo výkupu odpadů je povinen v souladu s § 18 odst. 3 zákona identifikovat odebírané nebo vykupované odpady a osoby, od kterých vykoupil věci jako odpady následujících druhů odpadů podle Katalogu odpadů, a vést o těchto skutečnostech evidenci</w:t>
      </w:r>
    </w:p>
    <w:p w:rsidR="00CF4971" w:rsidRPr="00EC1DAD" w:rsidRDefault="00CF4971" w:rsidP="00CF4971">
      <w:pPr>
        <w:contextualSpacing/>
      </w:pPr>
      <w:r w:rsidRPr="00EC1DAD">
        <w:t>16 01 04*  Autovraky</w:t>
      </w:r>
    </w:p>
    <w:p w:rsidR="00CF4971" w:rsidRPr="00EC1DAD" w:rsidRDefault="00CF4971" w:rsidP="00CF4971">
      <w:pPr>
        <w:contextualSpacing/>
      </w:pPr>
      <w:proofErr w:type="gramStart"/>
      <w:r w:rsidRPr="00EC1DAD">
        <w:t>16 01 06   Autovraky</w:t>
      </w:r>
      <w:proofErr w:type="gramEnd"/>
      <w:r w:rsidRPr="00EC1DAD">
        <w:t xml:space="preserve"> zbavené kapalin a jiných nebezpečných součástí</w:t>
      </w:r>
    </w:p>
    <w:p w:rsidR="00CF4971" w:rsidRPr="00EC1DAD" w:rsidRDefault="00CF4971" w:rsidP="00CF4971">
      <w:pPr>
        <w:contextualSpacing/>
      </w:pPr>
      <w:proofErr w:type="gramStart"/>
      <w:r w:rsidRPr="00EC1DAD">
        <w:t>17 04 01   Měď</w:t>
      </w:r>
      <w:proofErr w:type="gramEnd"/>
      <w:r w:rsidRPr="00EC1DAD">
        <w:t>, bronz, mosaz</w:t>
      </w:r>
    </w:p>
    <w:p w:rsidR="00CF4971" w:rsidRPr="00EC1DAD" w:rsidRDefault="00CF4971" w:rsidP="00CF4971">
      <w:pPr>
        <w:contextualSpacing/>
      </w:pPr>
      <w:proofErr w:type="gramStart"/>
      <w:r w:rsidRPr="00EC1DAD">
        <w:t>17 04 02   Hliník</w:t>
      </w:r>
      <w:proofErr w:type="gramEnd"/>
    </w:p>
    <w:p w:rsidR="00CF4971" w:rsidRPr="00EC1DAD" w:rsidRDefault="00CF4971" w:rsidP="00CF4971">
      <w:pPr>
        <w:contextualSpacing/>
      </w:pPr>
      <w:proofErr w:type="gramStart"/>
      <w:r w:rsidRPr="00EC1DAD">
        <w:t>17 04 03   Olovo</w:t>
      </w:r>
      <w:proofErr w:type="gramEnd"/>
    </w:p>
    <w:p w:rsidR="00CF4971" w:rsidRPr="00EC1DAD" w:rsidRDefault="00CF4971" w:rsidP="00CF4971">
      <w:pPr>
        <w:contextualSpacing/>
      </w:pPr>
      <w:proofErr w:type="gramStart"/>
      <w:r w:rsidRPr="00EC1DAD">
        <w:t>17 04 04   Zinek</w:t>
      </w:r>
      <w:proofErr w:type="gramEnd"/>
    </w:p>
    <w:p w:rsidR="00CF4971" w:rsidRPr="00EC1DAD" w:rsidRDefault="00CF4971" w:rsidP="00CF4971">
      <w:pPr>
        <w:contextualSpacing/>
      </w:pPr>
      <w:proofErr w:type="gramStart"/>
      <w:r w:rsidRPr="00EC1DAD">
        <w:t>17 04 06   Cín</w:t>
      </w:r>
      <w:proofErr w:type="gramEnd"/>
    </w:p>
    <w:p w:rsidR="00CF4971" w:rsidRPr="00EC1DAD" w:rsidRDefault="00CF4971" w:rsidP="00CF4971">
      <w:pPr>
        <w:contextualSpacing/>
      </w:pPr>
      <w:proofErr w:type="gramStart"/>
      <w:r w:rsidRPr="00EC1DAD">
        <w:t>17 04 07   Směsi</w:t>
      </w:r>
      <w:proofErr w:type="gramEnd"/>
      <w:r w:rsidRPr="00EC1DAD">
        <w:t xml:space="preserve"> kovů (17 04 01 - 06)</w:t>
      </w:r>
    </w:p>
    <w:p w:rsidR="00CF4971" w:rsidRPr="00EC1DAD" w:rsidRDefault="00CF4971" w:rsidP="00CF4971">
      <w:pPr>
        <w:contextualSpacing/>
      </w:pPr>
      <w:proofErr w:type="gramStart"/>
      <w:r w:rsidRPr="00EC1DAD">
        <w:t>17 04 11   Kabely</w:t>
      </w:r>
      <w:proofErr w:type="gramEnd"/>
    </w:p>
    <w:p w:rsidR="00CF4971" w:rsidRPr="00EC1DAD" w:rsidRDefault="00CF4971" w:rsidP="00CF4971">
      <w:pPr>
        <w:contextualSpacing/>
      </w:pPr>
      <w:proofErr w:type="gramStart"/>
      <w:r w:rsidRPr="00EC1DAD">
        <w:t>16 01 17   Železné</w:t>
      </w:r>
      <w:proofErr w:type="gramEnd"/>
      <w:r w:rsidRPr="00EC1DAD">
        <w:t xml:space="preserve"> kovy</w:t>
      </w:r>
    </w:p>
    <w:p w:rsidR="00CF4971" w:rsidRPr="00EC1DAD" w:rsidRDefault="00CF4971" w:rsidP="00CF4971">
      <w:pPr>
        <w:contextualSpacing/>
      </w:pPr>
      <w:proofErr w:type="gramStart"/>
      <w:r w:rsidRPr="00EC1DAD">
        <w:t>16 01 18   Neželezné</w:t>
      </w:r>
      <w:proofErr w:type="gramEnd"/>
      <w:r w:rsidRPr="00EC1DAD">
        <w:t xml:space="preserve"> kovy</w:t>
      </w:r>
    </w:p>
    <w:p w:rsidR="00CF4971" w:rsidRPr="00EC1DAD" w:rsidRDefault="00CF4971" w:rsidP="00CF4971">
      <w:pPr>
        <w:contextualSpacing/>
      </w:pPr>
      <w:proofErr w:type="gramStart"/>
      <w:r w:rsidRPr="00EC1DAD">
        <w:t>17 04 05   Železo</w:t>
      </w:r>
      <w:proofErr w:type="gramEnd"/>
      <w:r w:rsidRPr="00EC1DAD">
        <w:t xml:space="preserve"> a ocel</w:t>
      </w:r>
    </w:p>
    <w:p w:rsidR="00CF4971" w:rsidRPr="00EC1DAD" w:rsidRDefault="00CF4971" w:rsidP="00CF4971">
      <w:pPr>
        <w:contextualSpacing/>
      </w:pPr>
      <w:proofErr w:type="gramStart"/>
      <w:r w:rsidRPr="00EC1DAD">
        <w:t>17 04 07   Směsné</w:t>
      </w:r>
      <w:proofErr w:type="gramEnd"/>
      <w:r w:rsidRPr="00EC1DAD">
        <w:t xml:space="preserve"> kovy</w:t>
      </w:r>
    </w:p>
    <w:p w:rsidR="00667F06" w:rsidRPr="00EC1DAD" w:rsidRDefault="00CF4971" w:rsidP="00CF4971">
      <w:pPr>
        <w:contextualSpacing/>
      </w:pPr>
      <w:proofErr w:type="gramStart"/>
      <w:r w:rsidRPr="00EC1DAD">
        <w:t>20 01 40   Kovy</w:t>
      </w:r>
      <w:proofErr w:type="gramEnd"/>
      <w:r w:rsidRPr="00EC1DAD">
        <w:t>.</w:t>
      </w:r>
    </w:p>
    <w:p w:rsidR="00667F06" w:rsidRPr="00EC1DAD" w:rsidRDefault="00667F06" w:rsidP="00667F06">
      <w:pPr>
        <w:pStyle w:val="Nadpis3"/>
      </w:pPr>
      <w:r w:rsidRPr="00EC1DAD">
        <w:t>Varianta 1</w:t>
      </w:r>
    </w:p>
    <w:p w:rsidR="00CF4971" w:rsidRPr="00EC1DAD" w:rsidRDefault="00CF4971" w:rsidP="00CF4971">
      <w:r w:rsidRPr="00EC1DAD">
        <w:t>Rozšíření seznamu odpadů, na něž se vztahuje povinnost provádět identifikaci osob odevzdávajících odpady do zařízení a povinnost provádět platbu pouze způsobem stanoveným zákonem o odpadech.</w:t>
      </w:r>
    </w:p>
    <w:p w:rsidR="00CF4971" w:rsidRPr="00EC1DAD" w:rsidRDefault="00CF4971" w:rsidP="00CF4971">
      <w:r w:rsidRPr="00EC1DAD">
        <w:t>(2) Jako odpady, při jejichž odběru nebo výkupu je provozovatel zařízení ke sběru nebo výkupu povinen identifikovat osoby, od kterých má v úmyslu odpady odebrat nebo vykoupit, identifikovat odebírané nebo vykupované odpady a vést o těchto skutečnostech evidenci, se vymezují</w:t>
      </w:r>
    </w:p>
    <w:p w:rsidR="00CF4971" w:rsidRPr="00EC1DAD" w:rsidRDefault="00CF4971" w:rsidP="00CF4971">
      <w:pPr>
        <w:contextualSpacing/>
      </w:pPr>
      <w:proofErr w:type="gramStart"/>
      <w:r w:rsidRPr="00EC1DAD">
        <w:t>02 01 10   Kovové</w:t>
      </w:r>
      <w:proofErr w:type="gramEnd"/>
      <w:r w:rsidRPr="00EC1DAD">
        <w:t xml:space="preserve"> odpady</w:t>
      </w:r>
    </w:p>
    <w:p w:rsidR="00CF4971" w:rsidRPr="00EC1DAD" w:rsidRDefault="00CF4971" w:rsidP="00CF4971">
      <w:pPr>
        <w:contextualSpacing/>
      </w:pPr>
      <w:proofErr w:type="gramStart"/>
      <w:r w:rsidRPr="00EC1DAD">
        <w:t>15 01 04   Kovové</w:t>
      </w:r>
      <w:proofErr w:type="gramEnd"/>
      <w:r w:rsidRPr="00EC1DAD">
        <w:t xml:space="preserve"> obaly</w:t>
      </w:r>
    </w:p>
    <w:p w:rsidR="00CF4971" w:rsidRPr="00EC1DAD" w:rsidRDefault="00CF4971" w:rsidP="00CF4971">
      <w:pPr>
        <w:contextualSpacing/>
      </w:pPr>
      <w:r w:rsidRPr="00EC1DAD">
        <w:t>16 01 04* Autovraky</w:t>
      </w:r>
    </w:p>
    <w:p w:rsidR="00CF4971" w:rsidRPr="00EC1DAD" w:rsidRDefault="00CF4971" w:rsidP="00CF4971">
      <w:pPr>
        <w:contextualSpacing/>
      </w:pPr>
      <w:proofErr w:type="gramStart"/>
      <w:r w:rsidRPr="00EC1DAD">
        <w:t>16 01 06   Autovraky</w:t>
      </w:r>
      <w:proofErr w:type="gramEnd"/>
      <w:r w:rsidRPr="00EC1DAD">
        <w:t xml:space="preserve"> zbavené kapalin a jiných nebezpečných součástí</w:t>
      </w:r>
    </w:p>
    <w:p w:rsidR="00CF4971" w:rsidRPr="00EC1DAD" w:rsidRDefault="00CF4971" w:rsidP="00CF4971">
      <w:pPr>
        <w:contextualSpacing/>
      </w:pPr>
      <w:proofErr w:type="gramStart"/>
      <w:r w:rsidRPr="00EC1DAD">
        <w:t>16 01 17   Železné</w:t>
      </w:r>
      <w:proofErr w:type="gramEnd"/>
      <w:r w:rsidRPr="00EC1DAD">
        <w:t xml:space="preserve"> kovy</w:t>
      </w:r>
    </w:p>
    <w:p w:rsidR="00CF4971" w:rsidRPr="00EC1DAD" w:rsidRDefault="00CF4971" w:rsidP="00CF4971">
      <w:pPr>
        <w:contextualSpacing/>
      </w:pPr>
      <w:proofErr w:type="gramStart"/>
      <w:r w:rsidRPr="00EC1DAD">
        <w:t>16 01 18   Neželezné</w:t>
      </w:r>
      <w:proofErr w:type="gramEnd"/>
      <w:r w:rsidRPr="00EC1DAD">
        <w:t xml:space="preserve"> kovy</w:t>
      </w:r>
    </w:p>
    <w:p w:rsidR="00CF4971" w:rsidRPr="00EC1DAD" w:rsidRDefault="00CF4971" w:rsidP="00CF4971">
      <w:pPr>
        <w:contextualSpacing/>
      </w:pPr>
      <w:proofErr w:type="gramStart"/>
      <w:r w:rsidRPr="00EC1DAD">
        <w:t>16 08 01   Upotřebené</w:t>
      </w:r>
      <w:proofErr w:type="gramEnd"/>
      <w:r w:rsidRPr="00EC1DAD">
        <w:t xml:space="preserve"> katalyzátory obsahující zlato, stříbro, rhenium, rhodium, paladium, </w:t>
      </w:r>
    </w:p>
    <w:p w:rsidR="00CF4971" w:rsidRPr="00EC1DAD" w:rsidRDefault="00CF4971" w:rsidP="00CF4971">
      <w:pPr>
        <w:contextualSpacing/>
      </w:pPr>
      <w:r w:rsidRPr="00EC1DAD">
        <w:t xml:space="preserve">                 iridium nebo platinu (kromě odpadu uvedeného pod číslem 16 08 07)</w:t>
      </w:r>
    </w:p>
    <w:p w:rsidR="00CF4971" w:rsidRPr="00EC1DAD" w:rsidRDefault="00CF4971" w:rsidP="00CF4971">
      <w:pPr>
        <w:contextualSpacing/>
      </w:pPr>
      <w:proofErr w:type="gramStart"/>
      <w:r w:rsidRPr="00EC1DAD">
        <w:t>17 04 01   Měď</w:t>
      </w:r>
      <w:proofErr w:type="gramEnd"/>
      <w:r w:rsidRPr="00EC1DAD">
        <w:t>, bronz, mosaz</w:t>
      </w:r>
    </w:p>
    <w:p w:rsidR="00CF4971" w:rsidRPr="00EC1DAD" w:rsidRDefault="00CF4971" w:rsidP="00CF4971">
      <w:pPr>
        <w:contextualSpacing/>
      </w:pPr>
      <w:proofErr w:type="gramStart"/>
      <w:r w:rsidRPr="00EC1DAD">
        <w:t>17 04 02   Hliník</w:t>
      </w:r>
      <w:proofErr w:type="gramEnd"/>
    </w:p>
    <w:p w:rsidR="00CF4971" w:rsidRPr="00EC1DAD" w:rsidRDefault="00CF4971" w:rsidP="00CF4971">
      <w:pPr>
        <w:contextualSpacing/>
      </w:pPr>
      <w:proofErr w:type="gramStart"/>
      <w:r w:rsidRPr="00EC1DAD">
        <w:t>17 04 03   Olovo</w:t>
      </w:r>
      <w:proofErr w:type="gramEnd"/>
    </w:p>
    <w:p w:rsidR="00CF4971" w:rsidRPr="00EC1DAD" w:rsidRDefault="00CF4971" w:rsidP="00CF4971">
      <w:pPr>
        <w:contextualSpacing/>
      </w:pPr>
      <w:proofErr w:type="gramStart"/>
      <w:r w:rsidRPr="00EC1DAD">
        <w:t>17 04 04   Zinek</w:t>
      </w:r>
      <w:proofErr w:type="gramEnd"/>
    </w:p>
    <w:p w:rsidR="00CF4971" w:rsidRPr="00EC1DAD" w:rsidRDefault="00CF4971" w:rsidP="00CF4971">
      <w:pPr>
        <w:contextualSpacing/>
      </w:pPr>
      <w:proofErr w:type="gramStart"/>
      <w:r w:rsidRPr="00EC1DAD">
        <w:t>17 04 05   Železo</w:t>
      </w:r>
      <w:proofErr w:type="gramEnd"/>
      <w:r w:rsidRPr="00EC1DAD">
        <w:t xml:space="preserve"> a ocel</w:t>
      </w:r>
    </w:p>
    <w:p w:rsidR="00CF4971" w:rsidRPr="00EC1DAD" w:rsidRDefault="00CF4971" w:rsidP="00CF4971">
      <w:pPr>
        <w:contextualSpacing/>
      </w:pPr>
      <w:proofErr w:type="gramStart"/>
      <w:r w:rsidRPr="00EC1DAD">
        <w:lastRenderedPageBreak/>
        <w:t>17 04 06   Cín</w:t>
      </w:r>
      <w:proofErr w:type="gramEnd"/>
    </w:p>
    <w:p w:rsidR="00CF4971" w:rsidRPr="00EC1DAD" w:rsidRDefault="00CF4971" w:rsidP="00CF4971">
      <w:pPr>
        <w:contextualSpacing/>
      </w:pPr>
      <w:proofErr w:type="gramStart"/>
      <w:r w:rsidRPr="00EC1DAD">
        <w:t>17 04 07   Směsné</w:t>
      </w:r>
      <w:proofErr w:type="gramEnd"/>
      <w:r w:rsidRPr="00EC1DAD">
        <w:t xml:space="preserve"> kovy</w:t>
      </w:r>
    </w:p>
    <w:p w:rsidR="00CF4971" w:rsidRPr="00EC1DAD" w:rsidRDefault="00CF4971" w:rsidP="00CF4971">
      <w:pPr>
        <w:contextualSpacing/>
      </w:pPr>
      <w:proofErr w:type="gramStart"/>
      <w:r w:rsidRPr="00EC1DAD">
        <w:t>17 04 11   Kabely</w:t>
      </w:r>
      <w:proofErr w:type="gramEnd"/>
      <w:r w:rsidRPr="00EC1DAD">
        <w:t xml:space="preserve"> neuvedené pod 17 04 10</w:t>
      </w:r>
    </w:p>
    <w:p w:rsidR="00667F06" w:rsidRPr="00EC1DAD" w:rsidRDefault="00CF4971" w:rsidP="00CF4971">
      <w:pPr>
        <w:contextualSpacing/>
      </w:pPr>
      <w:proofErr w:type="gramStart"/>
      <w:r w:rsidRPr="00EC1DAD">
        <w:t>20 01 40   Kovy</w:t>
      </w:r>
      <w:proofErr w:type="gramEnd"/>
      <w:r w:rsidRPr="00EC1DAD">
        <w:t>.</w:t>
      </w:r>
    </w:p>
    <w:p w:rsidR="00667F06" w:rsidRPr="00EC1DAD" w:rsidRDefault="00667F06" w:rsidP="00667F06">
      <w:pPr>
        <w:pStyle w:val="Nadpis2"/>
      </w:pPr>
      <w:r w:rsidRPr="00EC1DAD">
        <w:t>Vyhodnocení nákladů a přínosů</w:t>
      </w:r>
    </w:p>
    <w:p w:rsidR="00667F06" w:rsidRPr="00EC1DAD" w:rsidRDefault="00667F06" w:rsidP="00667F06">
      <w:pPr>
        <w:pStyle w:val="Nadpis3"/>
      </w:pPr>
      <w:r w:rsidRPr="00EC1DAD">
        <w:t>Identifikace nákladů a přínosů</w:t>
      </w:r>
    </w:p>
    <w:p w:rsidR="00667F06" w:rsidRPr="00EC1DAD" w:rsidRDefault="00667F06" w:rsidP="00667F06">
      <w:pPr>
        <w:pStyle w:val="Odstavecseseznamem"/>
        <w:keepNext/>
        <w:numPr>
          <w:ilvl w:val="0"/>
          <w:numId w:val="4"/>
        </w:numPr>
        <w:spacing w:before="240"/>
        <w:ind w:left="714" w:hanging="357"/>
      </w:pPr>
      <w:r w:rsidRPr="00EC1DAD">
        <w:t>Varianta 0</w:t>
      </w:r>
    </w:p>
    <w:p w:rsidR="00667F06" w:rsidRPr="00EC1DAD" w:rsidRDefault="0093639B" w:rsidP="00667F06">
      <w:r w:rsidRPr="00EC1DAD">
        <w:rPr>
          <w:rFonts w:cs="Arial"/>
        </w:rPr>
        <w:t>Tato varianta představuje riziko neprokazatelnosti kriminálního jednání souvisejícího s výkupem kovů, na které v současné době nejsou aplikovatelné specifické nástroje § 18 zákona a § 8 vyhlášky, a tím i dopady dotýkající se státního rozpočtu, územních samosprávných celků (obcí, krajů) a také veřejnosti</w:t>
      </w:r>
    </w:p>
    <w:p w:rsidR="00667F06" w:rsidRPr="00EC1DAD" w:rsidRDefault="00667F06" w:rsidP="00667F06">
      <w:pPr>
        <w:pStyle w:val="Odstavecseseznamem"/>
        <w:keepNext/>
        <w:numPr>
          <w:ilvl w:val="0"/>
          <w:numId w:val="4"/>
        </w:numPr>
        <w:spacing w:before="240"/>
        <w:ind w:left="714" w:hanging="357"/>
      </w:pPr>
      <w:r w:rsidRPr="00EC1DAD">
        <w:t>Varianta 1</w:t>
      </w:r>
    </w:p>
    <w:p w:rsidR="00667F06" w:rsidRPr="00EC1DAD" w:rsidRDefault="00667F06" w:rsidP="00667F06">
      <w:pPr>
        <w:pStyle w:val="Normlntun"/>
      </w:pPr>
      <w:r w:rsidRPr="00EC1DAD">
        <w:t>Dopady na státní rozpočet</w:t>
      </w:r>
      <w:r w:rsidR="004504EE" w:rsidRPr="00EC1DAD">
        <w:t>,</w:t>
      </w:r>
      <w:r w:rsidR="004504EE" w:rsidRPr="00EC1DAD">
        <w:rPr>
          <w:rFonts w:cs="Arial"/>
        </w:rPr>
        <w:t xml:space="preserve"> ÚZC (obce, kraje) a sociální dopady</w:t>
      </w:r>
    </w:p>
    <w:p w:rsidR="00667F06" w:rsidRPr="00EC1DAD" w:rsidRDefault="004504EE" w:rsidP="00667F06">
      <w:r w:rsidRPr="00EC1DAD">
        <w:rPr>
          <w:rFonts w:cs="Arial"/>
        </w:rPr>
        <w:t>Jakékoli zpřísnění povinností provozovatelů zařízení ke sběru a výkupu odpadů vůči osobám, od kterých vykupují kovové odpady, přináší pozitivní dopady na státní rozpočet, územní samosprávné celky a veřejnost, protože se předpokládá snížení trestné činnosti v této oblasti, která finančně zatěžuje širokou veřejnost a státní orgány (Policie ČR, obce, kraje, podnikatelské subjekty, obyvatele apod.).</w:t>
      </w:r>
    </w:p>
    <w:p w:rsidR="00667F06" w:rsidRPr="00EC1DAD" w:rsidRDefault="00667F06" w:rsidP="00667F06">
      <w:pPr>
        <w:pStyle w:val="Normlntun"/>
      </w:pPr>
      <w:r w:rsidRPr="00EC1DAD">
        <w:t>Dopady na podnikatelské subjekty</w:t>
      </w:r>
    </w:p>
    <w:p w:rsidR="004504EE" w:rsidRPr="00EC1DAD" w:rsidRDefault="004504EE" w:rsidP="004504EE">
      <w:r w:rsidRPr="00EC1DAD">
        <w:t>Varianta přináší mírné navýšení administrativní zátěže na straně provozovatelů zařízení ke sběru a výkupu odpadů. U odpadů, které do tohoto režimu spadají nově, doposud neměli provozovatelé povinnost vést evidenci osob a vykupovaných odpadů, a mohli u nich poskytovat úplatu v hotovosti.</w:t>
      </w:r>
    </w:p>
    <w:p w:rsidR="004504EE" w:rsidRPr="00EC1DAD" w:rsidRDefault="004504EE" w:rsidP="004504EE">
      <w:r w:rsidRPr="00EC1DAD">
        <w:t>S ohledem na to, že u naprosté většiny kovových odpadů se tak již musí v současné době postupovat, jsou provozovatelé plně připraveni tento postup uplatňovat u všech kovových odpadů. Administrativní zátěž se tak mírně navýší (zapsání požadovaných údajů na potvrzení o platbě představuje časovou náročnost 1–2 minuty navíc oproti současnému stavu u jedné přejímky odpadů). Celkově si úprava nevyžádá žádné nové investice.</w:t>
      </w:r>
    </w:p>
    <w:p w:rsidR="00667F06" w:rsidRPr="00EC1DAD" w:rsidRDefault="004504EE" w:rsidP="004504EE">
      <w:r w:rsidRPr="00EC1DAD">
        <w:t>Tato varianta zvyšuje účinnost aplikace již platné úpravy, protože zahrnutím všech druhů kovových odpadů se zamezí možnosti obcházet omezení účelovým zařazením odpadu pod jiný druh. Zároveň dojde k zahrnutí odpadů, které v dřívější době nezpůsobovaly problémy, protože jejich krádeže nebyly časté, a nyní se trestná činnost spojená s jejich výkupem navyšuje. Příkladem mohou být automobilové katalyzátory, které jsou samostatným druhem odpadu, a v současné době se na ně přísnější regulace nevztahuje. V poslední době se navyšuje počet případů, kdy jsou tyto katalyzátory odcizeny z funkčních automobilů a odprodány v hodnotě obsažených kovů jako odpad, přičemž škoda na takovém automobilu je mnohonásobně vyšší než cena katalyzátoru jako odpadu. Navrhovaná varianta zvýší v tomto případě možnost dohledání osoby, která se krádeže dopustila.</w:t>
      </w:r>
    </w:p>
    <w:p w:rsidR="00667F06" w:rsidRPr="00EC1DAD" w:rsidRDefault="00667F06" w:rsidP="00667F06">
      <w:pPr>
        <w:pStyle w:val="Nadpis3"/>
      </w:pPr>
      <w:r w:rsidRPr="00EC1DAD">
        <w:lastRenderedPageBreak/>
        <w:t>Vyhodnocení nákladů a přínosů variant</w:t>
      </w:r>
    </w:p>
    <w:p w:rsidR="00667F06" w:rsidRPr="00EC1DAD" w:rsidRDefault="00667F06" w:rsidP="00667F06">
      <w:pPr>
        <w:pStyle w:val="Titulek"/>
        <w:keepNext/>
      </w:pPr>
      <w:r w:rsidRPr="00EC1DAD">
        <w:t xml:space="preserve">Tabulka </w:t>
      </w:r>
      <w:r w:rsidR="002A5461">
        <w:fldChar w:fldCharType="begin"/>
      </w:r>
      <w:r w:rsidR="000A23C9">
        <w:instrText xml:space="preserve"> SEQ Tabulka \* ARABIC </w:instrText>
      </w:r>
      <w:r w:rsidR="002A5461">
        <w:fldChar w:fldCharType="separate"/>
      </w:r>
      <w:r w:rsidR="006F7321">
        <w:rPr>
          <w:noProof/>
        </w:rPr>
        <w:t>2</w:t>
      </w:r>
      <w:r w:rsidR="002A5461">
        <w:rPr>
          <w:noProof/>
        </w:rPr>
        <w:fldChar w:fldCharType="end"/>
      </w:r>
      <w:r w:rsidRPr="00EC1DAD">
        <w:t>: Porovnání nákladů a přínosů</w:t>
      </w:r>
    </w:p>
    <w:p w:rsidR="00667F06" w:rsidRPr="00EC1DAD" w:rsidRDefault="00EF1FC5" w:rsidP="00667F06">
      <w:r w:rsidRPr="00EC1DAD">
        <w:rPr>
          <w:noProof/>
          <w:lang w:eastAsia="cs-CZ"/>
        </w:rPr>
        <w:drawing>
          <wp:inline distT="0" distB="0" distL="0" distR="0">
            <wp:extent cx="5760720" cy="6012049"/>
            <wp:effectExtent l="0" t="0" r="0" b="825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6012049"/>
                    </a:xfrm>
                    <a:prstGeom prst="rect">
                      <a:avLst/>
                    </a:prstGeom>
                    <a:noFill/>
                    <a:ln>
                      <a:noFill/>
                    </a:ln>
                  </pic:spPr>
                </pic:pic>
              </a:graphicData>
            </a:graphic>
          </wp:inline>
        </w:drawing>
      </w:r>
    </w:p>
    <w:p w:rsidR="001073F9" w:rsidRDefault="001073F9" w:rsidP="001073F9">
      <w:r w:rsidRPr="00EC1DAD">
        <w:t>Náklady či přínosy, zejména u ÚSC a veřejnosti není možné kvantifikovat ani přesně stanovit míru dotčenosti, protože ceny odcizených kovových věcí se pohybují v různých cenových rozmezích, a i dotčené subjekty jsou z různých příjmových oblastí.</w:t>
      </w:r>
    </w:p>
    <w:p w:rsidR="001C2922" w:rsidRDefault="001C2922" w:rsidP="001C2922">
      <w:r>
        <w:t>Vyhodnocení nákladů a přínosů vychází z dostupných informací a dat. V některých případech však není možné hodnocení provést kvantitativně, ale musí být provedeno kvalitativně prostřednictvím subjektivního hodnocení dopadů pracovníky ministerstva, kteří vychází ze zkušeností a dlouholeté praxe v odpadovém hospodářství či provedených konzultací.</w:t>
      </w:r>
    </w:p>
    <w:p w:rsidR="00EF1FC5" w:rsidRPr="00EC1DAD" w:rsidRDefault="00EF1FC5">
      <w:pPr>
        <w:spacing w:after="0" w:line="240" w:lineRule="auto"/>
        <w:jc w:val="left"/>
        <w:rPr>
          <w:b/>
          <w:bCs/>
          <w:i/>
          <w:kern w:val="32"/>
          <w:sz w:val="24"/>
        </w:rPr>
      </w:pPr>
      <w:r w:rsidRPr="00EC1DAD">
        <w:br w:type="page"/>
      </w:r>
    </w:p>
    <w:p w:rsidR="00667F06" w:rsidRPr="00EC1DAD" w:rsidRDefault="00667F06" w:rsidP="00667F06">
      <w:pPr>
        <w:pStyle w:val="Nadpis2"/>
      </w:pPr>
      <w:r w:rsidRPr="00EC1DAD">
        <w:lastRenderedPageBreak/>
        <w:t>Návrh řešení</w:t>
      </w:r>
    </w:p>
    <w:p w:rsidR="00667F06" w:rsidRPr="00EC1DAD" w:rsidRDefault="00667F06" w:rsidP="00667F06">
      <w:pPr>
        <w:pStyle w:val="Nadpis3"/>
      </w:pPr>
      <w:r w:rsidRPr="00EC1DAD">
        <w:t>Stanovení pořadí variant a výběr nejvhodnějšího řešení</w:t>
      </w:r>
    </w:p>
    <w:p w:rsidR="00667F06" w:rsidRPr="00EC1DAD" w:rsidRDefault="00667F06" w:rsidP="00667F06">
      <w:pPr>
        <w:pStyle w:val="Odstavecseseznamem"/>
        <w:numPr>
          <w:ilvl w:val="0"/>
          <w:numId w:val="5"/>
        </w:numPr>
        <w:ind w:left="714" w:hanging="357"/>
        <w:contextualSpacing/>
        <w:rPr>
          <w:b/>
          <w:bCs/>
        </w:rPr>
      </w:pPr>
      <w:r w:rsidRPr="00EC1DAD">
        <w:rPr>
          <w:b/>
          <w:bCs/>
        </w:rPr>
        <w:t xml:space="preserve">Varianta </w:t>
      </w:r>
      <w:r w:rsidR="001073F9" w:rsidRPr="00EC1DAD">
        <w:rPr>
          <w:b/>
          <w:bCs/>
        </w:rPr>
        <w:t>1</w:t>
      </w:r>
    </w:p>
    <w:p w:rsidR="00667F06" w:rsidRPr="007614F3" w:rsidRDefault="00CD57A2" w:rsidP="00667F06">
      <w:pPr>
        <w:pStyle w:val="Odstavecseseznamem"/>
        <w:numPr>
          <w:ilvl w:val="0"/>
          <w:numId w:val="5"/>
        </w:numPr>
        <w:ind w:left="714" w:hanging="357"/>
        <w:contextualSpacing/>
      </w:pPr>
      <w:r w:rsidRPr="007614F3">
        <w:t>Varianta 0</w:t>
      </w:r>
    </w:p>
    <w:p w:rsidR="001073F9" w:rsidRPr="00EC1DAD" w:rsidRDefault="001073F9" w:rsidP="001073F9">
      <w:r w:rsidRPr="00EC1DAD">
        <w:t>Doporučujeme Variantu 1, která představuje další krok vedoucí ke ztížení výkupu kovových odpadů, které nejsou odpadem v pravém slova smyslu, ale může se jednat o předměty z trestné činnosti.</w:t>
      </w:r>
    </w:p>
    <w:p w:rsidR="00E6399F" w:rsidRPr="00EC1DAD" w:rsidRDefault="00E6399F" w:rsidP="00E6399F">
      <w:pPr>
        <w:pStyle w:val="Nadpis1"/>
        <w:ind w:left="432" w:hanging="432"/>
        <w:rPr>
          <w:rFonts w:cs="Arial"/>
          <w:szCs w:val="22"/>
        </w:rPr>
      </w:pPr>
      <w:r w:rsidRPr="00EC1DAD">
        <w:rPr>
          <w:rFonts w:cs="Arial"/>
          <w:szCs w:val="22"/>
        </w:rPr>
        <w:t>Hlášení o poplatcích za ukládání odpadů na skládku</w:t>
      </w:r>
    </w:p>
    <w:p w:rsidR="00667F06" w:rsidRPr="00EC1DAD" w:rsidRDefault="00667F06" w:rsidP="00667F06">
      <w:pPr>
        <w:pStyle w:val="Nadpis2"/>
      </w:pPr>
      <w:r w:rsidRPr="00EC1DAD">
        <w:t>Důvod předložení a cíle</w:t>
      </w:r>
    </w:p>
    <w:p w:rsidR="00667F06" w:rsidRPr="00EC1DAD" w:rsidRDefault="00667F06" w:rsidP="00667F06">
      <w:pPr>
        <w:pStyle w:val="Nadpis3"/>
      </w:pPr>
      <w:r w:rsidRPr="00EC1DAD">
        <w:t>Definice problému</w:t>
      </w:r>
    </w:p>
    <w:p w:rsidR="00667F06" w:rsidRPr="00EC1DAD" w:rsidRDefault="00E6399F" w:rsidP="00667F06">
      <w:r w:rsidRPr="00EC1DAD">
        <w:t>V návaznosti na usnesení vlády České republiky č. 634 ze dne 29. srpna 2012 k Záměru zefektivnění výkonu státní statistické služby bude aktuálně projednávanou novelou zákona o odpadech přidána provozovateli skládky odpadů povinnost zasílat hlášení o poplatcích za ukládání odpadů na skládky, a to prostřednictvím Integrovaného systému plnění ohlašovacích povinností v oblasti životního prostředí (dále jen „ISPOP“).</w:t>
      </w:r>
    </w:p>
    <w:p w:rsidR="00667F06" w:rsidRPr="00EC1DAD" w:rsidRDefault="00667F06" w:rsidP="00667F06">
      <w:pPr>
        <w:pStyle w:val="Nadpis3"/>
      </w:pPr>
      <w:r w:rsidRPr="00EC1DAD">
        <w:t>Popis existujícího právního stavu v dané oblasti</w:t>
      </w:r>
    </w:p>
    <w:p w:rsidR="00667F06" w:rsidRPr="00EC1DAD" w:rsidRDefault="009A7C92" w:rsidP="00667F06">
      <w:r w:rsidRPr="00EC1DAD">
        <w:t>V současné době je tato povinnost stanovena Programem statistických zjišťování a hlášení je každoročně zasíláno CENIA, české informační agentuře životního prostředí v papírové podobě nebo prostřednictvím datové schránky.</w:t>
      </w:r>
    </w:p>
    <w:p w:rsidR="00667F06" w:rsidRPr="00EC1DAD" w:rsidRDefault="00667F06" w:rsidP="00667F06">
      <w:pPr>
        <w:pStyle w:val="Nadpis3"/>
      </w:pPr>
      <w:r w:rsidRPr="00EC1DAD">
        <w:t>Identifikace dotčených subjektů</w:t>
      </w:r>
    </w:p>
    <w:p w:rsidR="00CF0E6E" w:rsidRPr="00EC1DAD" w:rsidRDefault="00CF0E6E" w:rsidP="00CF0E6E">
      <w:pPr>
        <w:pStyle w:val="Odstavecseseznamem"/>
        <w:numPr>
          <w:ilvl w:val="0"/>
          <w:numId w:val="17"/>
        </w:numPr>
        <w:spacing w:after="0"/>
        <w:rPr>
          <w:rFonts w:cs="Arial"/>
        </w:rPr>
      </w:pPr>
      <w:r w:rsidRPr="00EC1DAD">
        <w:rPr>
          <w:rFonts w:cs="Arial"/>
        </w:rPr>
        <w:t>provozovatelé skládek odpadů</w:t>
      </w:r>
      <w:r w:rsidR="008E0967">
        <w:rPr>
          <w:rFonts w:cs="Arial"/>
        </w:rPr>
        <w:t xml:space="preserve"> (podnikatelské subjekty, obce)</w:t>
      </w:r>
      <w:r w:rsidRPr="00EC1DAD">
        <w:rPr>
          <w:rFonts w:cs="Arial"/>
        </w:rPr>
        <w:t>,</w:t>
      </w:r>
    </w:p>
    <w:p w:rsidR="00CF0E6E" w:rsidRPr="00EC1DAD" w:rsidRDefault="00CF0E6E" w:rsidP="00CF0E6E">
      <w:pPr>
        <w:pStyle w:val="Odstavecseseznamem"/>
        <w:numPr>
          <w:ilvl w:val="0"/>
          <w:numId w:val="17"/>
        </w:numPr>
        <w:spacing w:after="0"/>
        <w:rPr>
          <w:rFonts w:cs="Arial"/>
        </w:rPr>
      </w:pPr>
      <w:r w:rsidRPr="00EC1DAD">
        <w:rPr>
          <w:rFonts w:cs="Arial"/>
        </w:rPr>
        <w:t>CENIA, česká informační agentura životního prostředí (CENIA),</w:t>
      </w:r>
    </w:p>
    <w:p w:rsidR="00E420F3" w:rsidRDefault="00CF0E6E">
      <w:pPr>
        <w:pStyle w:val="Odstavecseseznamem"/>
        <w:numPr>
          <w:ilvl w:val="0"/>
          <w:numId w:val="17"/>
        </w:numPr>
        <w:contextualSpacing/>
      </w:pPr>
      <w:r w:rsidRPr="00EC1DAD">
        <w:rPr>
          <w:rFonts w:cs="Arial"/>
        </w:rPr>
        <w:t>Ministerstvo životního prostředí (MŽP, ministerstvo).</w:t>
      </w:r>
    </w:p>
    <w:p w:rsidR="00E420F3" w:rsidRDefault="007C0E42">
      <w:r w:rsidRPr="007C0E42">
        <w:t>Identifikace dotčených subjektů vychází z praxe a zkušeností pracovníků odboru odpadů Ministerstva životního prostředí. Případná změna legislativy bude mít na výše uvedené subjekty přímý dopad.</w:t>
      </w:r>
    </w:p>
    <w:p w:rsidR="00667F06" w:rsidRPr="00EC1DAD" w:rsidRDefault="00667F06" w:rsidP="00667F06">
      <w:pPr>
        <w:pStyle w:val="Nadpis3"/>
      </w:pPr>
      <w:r w:rsidRPr="00EC1DAD">
        <w:t>Popis cílového stavu</w:t>
      </w:r>
    </w:p>
    <w:p w:rsidR="00667F06" w:rsidRPr="00EC1DAD" w:rsidRDefault="00507D85" w:rsidP="00667F06">
      <w:r w:rsidRPr="00EC1DAD">
        <w:t>Nastavení administrativně co nejjednoduššího a nejlevnějšího způsobu podávání tohoto hlášení.</w:t>
      </w:r>
    </w:p>
    <w:p w:rsidR="00667F06" w:rsidRPr="00EC1DAD" w:rsidRDefault="00667F06" w:rsidP="00667F06">
      <w:pPr>
        <w:pStyle w:val="Nadpis3"/>
      </w:pPr>
      <w:r w:rsidRPr="00EC1DAD">
        <w:t>Zhodnocení rizika</w:t>
      </w:r>
    </w:p>
    <w:p w:rsidR="00667F06" w:rsidRPr="00EC1DAD" w:rsidRDefault="00507D85" w:rsidP="00667F06">
      <w:r w:rsidRPr="00EC1DAD">
        <w:t>Administrativní a finanční náročnost řešení zasílání hlášení jak na straně povinných osob, tak na straně státu.</w:t>
      </w:r>
    </w:p>
    <w:p w:rsidR="00667F06" w:rsidRPr="00EC1DAD" w:rsidRDefault="00667F06" w:rsidP="00667F06">
      <w:pPr>
        <w:pStyle w:val="Nadpis2"/>
      </w:pPr>
      <w:r w:rsidRPr="00EC1DAD">
        <w:lastRenderedPageBreak/>
        <w:t>Návrh variant řešení</w:t>
      </w:r>
    </w:p>
    <w:p w:rsidR="00667F06" w:rsidRPr="00EC1DAD" w:rsidRDefault="00667F06" w:rsidP="00667F06">
      <w:pPr>
        <w:pStyle w:val="Nadpis3"/>
      </w:pPr>
      <w:r w:rsidRPr="00EC1DAD">
        <w:t>Varianta 0</w:t>
      </w:r>
    </w:p>
    <w:p w:rsidR="00667F06" w:rsidRPr="00EC1DAD" w:rsidRDefault="00507D85" w:rsidP="00667F06">
      <w:r w:rsidRPr="00EC1DAD">
        <w:t>Ponechání současného stavu, kdy je povinnost stanovena Programem statistických zjišťování, a hlášení je každoročně zasíláno CENIA v papírové podobě nebo prostřednictvím datové schránky.</w:t>
      </w:r>
    </w:p>
    <w:p w:rsidR="00667F06" w:rsidRPr="00EC1DAD" w:rsidRDefault="00667F06" w:rsidP="00667F06">
      <w:pPr>
        <w:pStyle w:val="Nadpis3"/>
      </w:pPr>
      <w:r w:rsidRPr="00EC1DAD">
        <w:t>Varianta 1</w:t>
      </w:r>
    </w:p>
    <w:p w:rsidR="00667F06" w:rsidRPr="00EC1DAD" w:rsidRDefault="00507D85" w:rsidP="00667F06">
      <w:r w:rsidRPr="00EC1DAD">
        <w:t>Zasílání hlášení prostřednictvím ISPOP na novém formuláři sloužícím k tomuto účelu.</w:t>
      </w:r>
    </w:p>
    <w:p w:rsidR="00507D85" w:rsidRPr="00EC1DAD" w:rsidRDefault="00507D85" w:rsidP="00507D85">
      <w:pPr>
        <w:pStyle w:val="Nadpis3"/>
      </w:pPr>
      <w:r w:rsidRPr="00EC1DAD">
        <w:t>Varianta 2</w:t>
      </w:r>
    </w:p>
    <w:p w:rsidR="00507D85" w:rsidRPr="00EC1DAD" w:rsidRDefault="00507D85" w:rsidP="00667F06">
      <w:r w:rsidRPr="00EC1DAD">
        <w:t>Zasílání hlášení v rámci ročního hlášení o produkci a nakládání s odpady v nové tabulce č. 2 na stávajícím listu tohoto hlášení.</w:t>
      </w:r>
    </w:p>
    <w:p w:rsidR="00667F06" w:rsidRPr="00EC1DAD" w:rsidRDefault="00667F06" w:rsidP="00667F06">
      <w:pPr>
        <w:pStyle w:val="Nadpis2"/>
      </w:pPr>
      <w:r w:rsidRPr="00EC1DAD">
        <w:t>Vyhodnocení nákladů a přínosů</w:t>
      </w:r>
    </w:p>
    <w:p w:rsidR="00667F06" w:rsidRPr="00EC1DAD" w:rsidRDefault="00667F06" w:rsidP="00667F06">
      <w:pPr>
        <w:pStyle w:val="Nadpis3"/>
      </w:pPr>
      <w:r w:rsidRPr="00EC1DAD">
        <w:t>Identifikace nákladů a přínosů</w:t>
      </w:r>
    </w:p>
    <w:p w:rsidR="00667F06" w:rsidRPr="00EC1DAD" w:rsidRDefault="00667F06" w:rsidP="00667F06">
      <w:pPr>
        <w:pStyle w:val="Odstavecseseznamem"/>
        <w:keepNext/>
        <w:numPr>
          <w:ilvl w:val="0"/>
          <w:numId w:val="10"/>
        </w:numPr>
        <w:spacing w:before="240"/>
      </w:pPr>
      <w:r w:rsidRPr="00EC1DAD">
        <w:t>Varianta 0</w:t>
      </w:r>
    </w:p>
    <w:p w:rsidR="00667F06" w:rsidRPr="00EC1DAD" w:rsidRDefault="00667F06" w:rsidP="00667F06">
      <w:pPr>
        <w:pStyle w:val="Normlntun"/>
      </w:pPr>
      <w:r w:rsidRPr="00EC1DAD">
        <w:t xml:space="preserve">Dopady na </w:t>
      </w:r>
      <w:r w:rsidR="008E0967">
        <w:t>provozovatele skládek (podnikatelské subjekty, obce)</w:t>
      </w:r>
    </w:p>
    <w:p w:rsidR="00507D85" w:rsidRPr="00EC1DAD" w:rsidRDefault="00507D85" w:rsidP="00507D85">
      <w:r w:rsidRPr="00EC1DAD">
        <w:t>V současné době si provozovatelé skládek mohou vybrat, jestli hlášení zašlou v papírové podobě poštou nebo jestli ho zašlou prostřednictvím datové schránky. V případě datové schránky se jedná o administrativní zátěž maximálně 10 minut (puštění počítače, přihlášení do datové schránky, vyhledání ID příjemce a odeslání). Druhou možností je zaslání hlášení klasickou poštou, kde administrativní zátěž odhadujeme na 1 hodinu (cesta na poštu a zpět) a poštovné ve výši 34 Kč za doporučené psaní do hmotnosti 50 g.</w:t>
      </w:r>
    </w:p>
    <w:p w:rsidR="00667F06" w:rsidRPr="00EC1DAD" w:rsidRDefault="00507D85" w:rsidP="00507D85">
      <w:r w:rsidRPr="00EC1DAD">
        <w:t>Celkové náklady podnikatelských subjektů se pohybují při počtu cca 200 subjektů ve výši cca 8 500 Kč (200 subjektů, 10 minut ročně, 250 Kč/hodina dle Metodiky MPO) až cca 57 000 Kč (200 subjektů, 1 hodina ročně, 250 Kč/hodina dle Metodiky MPO, 34 Kč poštovné). Z konzultací s CENIA vyplynulo, že i přesto, že subjekty mohou využívat nákladově nižší zasílání prostřednictvím datových schránek, využívá této možnosti pouze jeden subjekt a ostatní stále dokumenty zasílají klasickou poštou.</w:t>
      </w:r>
    </w:p>
    <w:p w:rsidR="00667F06" w:rsidRPr="00EC1DAD" w:rsidRDefault="00667F06" w:rsidP="00667F06">
      <w:pPr>
        <w:pStyle w:val="Odstavecseseznamem"/>
        <w:keepNext/>
        <w:numPr>
          <w:ilvl w:val="0"/>
          <w:numId w:val="10"/>
        </w:numPr>
        <w:spacing w:before="240"/>
        <w:ind w:left="714" w:hanging="357"/>
      </w:pPr>
      <w:r w:rsidRPr="00EC1DAD">
        <w:t>Varianta 1</w:t>
      </w:r>
    </w:p>
    <w:p w:rsidR="00667F06" w:rsidRPr="00EC1DAD" w:rsidRDefault="00667F06" w:rsidP="00667F06">
      <w:pPr>
        <w:pStyle w:val="Normlntun"/>
      </w:pPr>
      <w:r w:rsidRPr="00EC1DAD">
        <w:t>Dopady na státní rozpočet a ostatní veřejné rozpočty</w:t>
      </w:r>
    </w:p>
    <w:p w:rsidR="00667F06" w:rsidRPr="00EC1DAD" w:rsidRDefault="00507D85" w:rsidP="00667F06">
      <w:r w:rsidRPr="00EC1DAD">
        <w:t>Náklady na vytvoření nového formuláře v rámci ISPOP se pohybují ve výši cca 1</w:t>
      </w:r>
      <w:r w:rsidR="00876615" w:rsidRPr="00EC1DAD">
        <w:t>50</w:t>
      </w:r>
      <w:r w:rsidRPr="00EC1DAD">
        <w:t> tis. Kč</w:t>
      </w:r>
      <w:r w:rsidR="002643E1">
        <w:t>.</w:t>
      </w:r>
    </w:p>
    <w:p w:rsidR="00667F06" w:rsidRPr="00EC1DAD" w:rsidRDefault="00667F06" w:rsidP="00667F06">
      <w:pPr>
        <w:pStyle w:val="Normlntun"/>
      </w:pPr>
      <w:r w:rsidRPr="00EC1DAD">
        <w:t xml:space="preserve">Dopady </w:t>
      </w:r>
      <w:r w:rsidR="008E0967" w:rsidRPr="00EC1DAD">
        <w:t xml:space="preserve">na </w:t>
      </w:r>
      <w:r w:rsidR="008E0967">
        <w:t>provozovatele skládek (podnikatelské subjekty, obce)</w:t>
      </w:r>
    </w:p>
    <w:p w:rsidR="00667F06" w:rsidRPr="00EC1DAD" w:rsidRDefault="00507D85" w:rsidP="00667F06">
      <w:r w:rsidRPr="00EC1DAD">
        <w:t>Na straně povinných osob dojde oproti současné právní úpravě ke snížení nákladů na zaslání hlášení CENIA o cca 57 tis. Kč. Časová náročnost přípravy a vyplnění takového hlášení zůstává stejná jako doposud.</w:t>
      </w:r>
    </w:p>
    <w:p w:rsidR="00507D85" w:rsidRPr="00EC1DAD" w:rsidRDefault="00507D85" w:rsidP="00507D85">
      <w:pPr>
        <w:pStyle w:val="Odstavecseseznamem"/>
        <w:keepNext/>
        <w:numPr>
          <w:ilvl w:val="0"/>
          <w:numId w:val="10"/>
        </w:numPr>
        <w:spacing w:before="240"/>
      </w:pPr>
      <w:r w:rsidRPr="00EC1DAD">
        <w:lastRenderedPageBreak/>
        <w:t>Varianta 2</w:t>
      </w:r>
    </w:p>
    <w:p w:rsidR="00507D85" w:rsidRPr="00EC1DAD" w:rsidRDefault="00507D85" w:rsidP="00507D85">
      <w:pPr>
        <w:pStyle w:val="Normlntun"/>
      </w:pPr>
      <w:r w:rsidRPr="00EC1DAD">
        <w:t>Dopady na státní rozpočet a ostatní veřejné rozpočty</w:t>
      </w:r>
    </w:p>
    <w:p w:rsidR="00507D85" w:rsidRPr="00EC1DAD" w:rsidRDefault="00507D85" w:rsidP="00507D85">
      <w:r w:rsidRPr="00EC1DAD">
        <w:t xml:space="preserve">V současném návrhu vyhlášky se počítá pouze s rozšířením současného formuláře o </w:t>
      </w:r>
      <w:r w:rsidR="00876615" w:rsidRPr="00EC1DAD">
        <w:t xml:space="preserve">tabulku č. </w:t>
      </w:r>
      <w:r w:rsidR="00BB72EB" w:rsidRPr="00EC1DAD">
        <w:t>2</w:t>
      </w:r>
      <w:r w:rsidR="007614F3">
        <w:t xml:space="preserve"> </w:t>
      </w:r>
      <w:r w:rsidR="00876615" w:rsidRPr="00EC1DAD">
        <w:t>listu č.</w:t>
      </w:r>
      <w:r w:rsidR="004B3030">
        <w:t xml:space="preserve"> </w:t>
      </w:r>
      <w:r w:rsidR="00BB72EB" w:rsidRPr="00EC1DAD">
        <w:t>4</w:t>
      </w:r>
      <w:r w:rsidR="00876615" w:rsidRPr="00EC1DAD">
        <w:t xml:space="preserve"> (celkově se jedná o 7 řádků) </w:t>
      </w:r>
      <w:r w:rsidRPr="00EC1DAD">
        <w:t>náklady jsou odhadnuty na částku</w:t>
      </w:r>
      <w:r w:rsidR="00BB72EB" w:rsidRPr="00EC1DAD">
        <w:t xml:space="preserve"> 70 000 Kč</w:t>
      </w:r>
      <w:r w:rsidR="007614F3">
        <w:t xml:space="preserve"> </w:t>
      </w:r>
      <w:r w:rsidRPr="00EC1DAD">
        <w:t>(jedná se o cenu, která zahrnuje úpravy aplikace, formuláře a datového standardu). V</w:t>
      </w:r>
      <w:r w:rsidR="002643E1">
        <w:t> </w:t>
      </w:r>
      <w:r w:rsidRPr="00EC1DAD">
        <w:t>případě potřeby provést další úpravy související s přidáním polí jako je například nastavení validací, součtování apod. tak se počítá s maximální částkou 38 880 Kč.</w:t>
      </w:r>
    </w:p>
    <w:p w:rsidR="00507D85" w:rsidRPr="00EC1DAD" w:rsidRDefault="00507D85" w:rsidP="00507D85">
      <w:r w:rsidRPr="00EC1DAD">
        <w:t>Dalším přínosem je elektronická verze dokumentu, se kterou se lépe pracuje a je jednodušší i archivace.</w:t>
      </w:r>
    </w:p>
    <w:p w:rsidR="00507D85" w:rsidRPr="00EC1DAD" w:rsidRDefault="00507D85" w:rsidP="00507D85">
      <w:pPr>
        <w:pStyle w:val="Normlntun"/>
      </w:pPr>
      <w:r w:rsidRPr="00EC1DAD">
        <w:t xml:space="preserve">Dopady na </w:t>
      </w:r>
      <w:r w:rsidR="008E0967">
        <w:t>provozovatele skládek (podnikatelské subjekty, obce)</w:t>
      </w:r>
    </w:p>
    <w:p w:rsidR="00507D85" w:rsidRPr="00EC1DAD" w:rsidRDefault="00507D85" w:rsidP="00507D85">
      <w:r w:rsidRPr="00EC1DAD">
        <w:t>Tato varianta přináší stejnou úsporu ve vztahu ke zrušení povinnosti zasílání hlášení CENIA poštou. Oproti Variantě 1 představuje také nižší administrativní zátěž, protože provozovatel skládky odpadů nemusí vyplňovat data, která jsou součástí hlášení o produkci a nakládání s odpady a v samostatném hlášení by musela být vyplněna, jako například množství uložených odpadů za kalendářní rok a další. Rovněž tato varianta umožňuje efektivní kontrolu údajů vyplněných v hlášení o poplatcích za ukládání odpadů na skládky a v ročním hlášení o produkci a nakládání s odpady provozovatele skládky.</w:t>
      </w:r>
    </w:p>
    <w:p w:rsidR="00667F06" w:rsidRPr="00EC1DAD" w:rsidRDefault="00667F06" w:rsidP="00667F06">
      <w:pPr>
        <w:pStyle w:val="Nadpis3"/>
      </w:pPr>
      <w:r w:rsidRPr="00EC1DAD">
        <w:t>Vyhodnocení nákladů a přínosů variant</w:t>
      </w:r>
    </w:p>
    <w:p w:rsidR="00667F06" w:rsidRPr="00EC1DAD" w:rsidRDefault="00667F06" w:rsidP="00667F06">
      <w:pPr>
        <w:pStyle w:val="Titulek"/>
        <w:keepNext/>
      </w:pPr>
      <w:r w:rsidRPr="00EC1DAD">
        <w:t xml:space="preserve">Tabulka </w:t>
      </w:r>
      <w:r w:rsidR="002A5461">
        <w:fldChar w:fldCharType="begin"/>
      </w:r>
      <w:r w:rsidR="000A23C9">
        <w:instrText xml:space="preserve"> SEQ Tabulka \* ARABIC </w:instrText>
      </w:r>
      <w:r w:rsidR="002A5461">
        <w:fldChar w:fldCharType="separate"/>
      </w:r>
      <w:r w:rsidR="006F7321">
        <w:rPr>
          <w:noProof/>
        </w:rPr>
        <w:t>3</w:t>
      </w:r>
      <w:r w:rsidR="002A5461">
        <w:rPr>
          <w:noProof/>
        </w:rPr>
        <w:fldChar w:fldCharType="end"/>
      </w:r>
      <w:r w:rsidRPr="00EC1DAD">
        <w:t>: Porovnání nákladů a přínosů</w:t>
      </w:r>
    </w:p>
    <w:p w:rsidR="00667F06" w:rsidRPr="00EC1DAD" w:rsidRDefault="002172E5" w:rsidP="00667F06">
      <w:r w:rsidRPr="002172E5">
        <w:t xml:space="preserve"> </w:t>
      </w:r>
      <w:r w:rsidR="00301901">
        <w:rPr>
          <w:noProof/>
          <w:lang w:eastAsia="cs-CZ"/>
        </w:rPr>
        <w:drawing>
          <wp:inline distT="0" distB="0" distL="0" distR="0">
            <wp:extent cx="5760720" cy="4252747"/>
            <wp:effectExtent l="0" t="0" r="0" b="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4252747"/>
                    </a:xfrm>
                    <a:prstGeom prst="rect">
                      <a:avLst/>
                    </a:prstGeom>
                    <a:noFill/>
                    <a:ln>
                      <a:noFill/>
                    </a:ln>
                  </pic:spPr>
                </pic:pic>
              </a:graphicData>
            </a:graphic>
          </wp:inline>
        </w:drawing>
      </w:r>
    </w:p>
    <w:p w:rsidR="00E420F3" w:rsidRDefault="001C2922">
      <w:pPr>
        <w:rPr>
          <w:kern w:val="32"/>
          <w:sz w:val="24"/>
        </w:rPr>
      </w:pPr>
      <w:r>
        <w:lastRenderedPageBreak/>
        <w:t>Vyhodnocení nákladů a přínosů vychází z dostupných informací a dat. V některých případech však není možné hodnocení provést kvantitativně, ale musí být provedeno kvalitativně prostřednictvím subjektivního hodnocení dopadů pracovníky ministerstva, kteří vychází ze zkušeností a dlouholeté praxe v odpadovém hospodářství či provedených konzultací.</w:t>
      </w:r>
    </w:p>
    <w:p w:rsidR="00667F06" w:rsidRPr="00EC1DAD" w:rsidRDefault="00667F06" w:rsidP="00667F06">
      <w:pPr>
        <w:pStyle w:val="Nadpis2"/>
      </w:pPr>
      <w:r w:rsidRPr="00EC1DAD">
        <w:t>Návrh řešení</w:t>
      </w:r>
    </w:p>
    <w:p w:rsidR="00667F06" w:rsidRPr="00EC1DAD" w:rsidRDefault="00667F06" w:rsidP="00667F06">
      <w:pPr>
        <w:pStyle w:val="Nadpis3"/>
      </w:pPr>
      <w:r w:rsidRPr="00EC1DAD">
        <w:t>Stanovení pořadí variant a výběr nejvhodnějšího řešení</w:t>
      </w:r>
    </w:p>
    <w:p w:rsidR="00667F06" w:rsidRPr="00EC1DAD" w:rsidRDefault="00667F06" w:rsidP="00667F06">
      <w:pPr>
        <w:pStyle w:val="Odstavecseseznamem"/>
        <w:numPr>
          <w:ilvl w:val="0"/>
          <w:numId w:val="9"/>
        </w:numPr>
        <w:contextualSpacing/>
        <w:rPr>
          <w:b/>
          <w:bCs/>
        </w:rPr>
      </w:pPr>
      <w:r w:rsidRPr="00EC1DAD">
        <w:rPr>
          <w:b/>
          <w:bCs/>
        </w:rPr>
        <w:t xml:space="preserve">Varianta </w:t>
      </w:r>
      <w:r w:rsidR="00E11CDD" w:rsidRPr="00EC1DAD">
        <w:rPr>
          <w:b/>
          <w:bCs/>
        </w:rPr>
        <w:t>2</w:t>
      </w:r>
    </w:p>
    <w:p w:rsidR="00667F06" w:rsidRPr="00EC1DAD" w:rsidRDefault="00667F06" w:rsidP="00667F06">
      <w:pPr>
        <w:pStyle w:val="Odstavecseseznamem"/>
        <w:numPr>
          <w:ilvl w:val="0"/>
          <w:numId w:val="9"/>
        </w:numPr>
        <w:ind w:left="714" w:hanging="357"/>
        <w:contextualSpacing/>
      </w:pPr>
      <w:r w:rsidRPr="00EC1DAD">
        <w:t xml:space="preserve">Varianta </w:t>
      </w:r>
      <w:r w:rsidR="00E11CDD" w:rsidRPr="00EC1DAD">
        <w:t>1</w:t>
      </w:r>
    </w:p>
    <w:p w:rsidR="00E11CDD" w:rsidRPr="00EC1DAD" w:rsidRDefault="00E11CDD" w:rsidP="00667F06">
      <w:pPr>
        <w:pStyle w:val="Odstavecseseznamem"/>
        <w:numPr>
          <w:ilvl w:val="0"/>
          <w:numId w:val="9"/>
        </w:numPr>
        <w:ind w:left="714" w:hanging="357"/>
        <w:contextualSpacing/>
      </w:pPr>
      <w:r w:rsidRPr="00EC1DAD">
        <w:t>Varianta 0</w:t>
      </w:r>
    </w:p>
    <w:p w:rsidR="00E11CDD" w:rsidRPr="00EC1DAD" w:rsidRDefault="00E11CDD" w:rsidP="00E11CDD">
      <w:r w:rsidRPr="00EC1DAD">
        <w:t>Na základě porovnání nákladů a přínosů doporučujeme přijmout Variantu 2, která představuje minimální náklady pro státní rozpočet, ale donutí podnikatelské subjekty snížit administrativní zátěž, která je po MŽP neustále vyžadována, a dále pak zjednoduší práci CENIA při manipulaci se zaslanými hlášeními.</w:t>
      </w:r>
    </w:p>
    <w:p w:rsidR="00E11CDD" w:rsidRPr="00EC1DAD" w:rsidRDefault="00E11CDD" w:rsidP="00E11CDD">
      <w:pPr>
        <w:pStyle w:val="Nadpis1"/>
        <w:ind w:left="432" w:hanging="432"/>
        <w:rPr>
          <w:rFonts w:cs="Arial"/>
          <w:szCs w:val="22"/>
        </w:rPr>
      </w:pPr>
      <w:r w:rsidRPr="00EC1DAD">
        <w:rPr>
          <w:rFonts w:cs="Arial"/>
          <w:szCs w:val="22"/>
        </w:rPr>
        <w:t>Způsob přidělování identifikačního čísla zařízení (IČZ)</w:t>
      </w:r>
    </w:p>
    <w:p w:rsidR="00131DF3" w:rsidRPr="00EC1DAD" w:rsidRDefault="00131DF3" w:rsidP="00131DF3">
      <w:pPr>
        <w:pStyle w:val="Nadpis2"/>
      </w:pPr>
      <w:r w:rsidRPr="00EC1DAD">
        <w:t>Důvod předložení a cíle</w:t>
      </w:r>
    </w:p>
    <w:p w:rsidR="00131DF3" w:rsidRPr="00EC1DAD" w:rsidRDefault="00131DF3" w:rsidP="00131DF3">
      <w:pPr>
        <w:pStyle w:val="Nadpis3"/>
      </w:pPr>
      <w:r w:rsidRPr="00EC1DAD">
        <w:t>Definice problému</w:t>
      </w:r>
    </w:p>
    <w:p w:rsidR="00131DF3" w:rsidRPr="00EC1DAD" w:rsidRDefault="0034095A" w:rsidP="00131DF3">
      <w:r>
        <w:t xml:space="preserve">Zákon o odpadech včetně novely zákona č. 223/2015 </w:t>
      </w:r>
      <w:proofErr w:type="gramStart"/>
      <w:r>
        <w:t xml:space="preserve">Sb. </w:t>
      </w:r>
      <w:r w:rsidR="00E11CDD" w:rsidRPr="00EC1DAD">
        <w:t xml:space="preserve"> obsahuje</w:t>
      </w:r>
      <w:proofErr w:type="gramEnd"/>
      <w:r w:rsidR="00E11CDD" w:rsidRPr="00EC1DAD">
        <w:t xml:space="preserve"> povinnost krajského úřadu přidělovat identifikační čísla zařízení. Do vyhlášky je proto nezbytné doplnit způsob, jakým bude identifikační číslo konstruováno a přidělováno jednotlivým zařízením.</w:t>
      </w:r>
    </w:p>
    <w:p w:rsidR="00131DF3" w:rsidRPr="00EC1DAD" w:rsidRDefault="00131DF3" w:rsidP="00131DF3">
      <w:pPr>
        <w:pStyle w:val="Nadpis3"/>
      </w:pPr>
      <w:r w:rsidRPr="00EC1DAD">
        <w:t>Popis existujícího právního stavu v dané oblasti</w:t>
      </w:r>
    </w:p>
    <w:p w:rsidR="00131DF3" w:rsidRPr="00EC1DAD" w:rsidRDefault="00E11CDD" w:rsidP="00131DF3">
      <w:r w:rsidRPr="00EC1DAD">
        <w:t xml:space="preserve">Zákon o </w:t>
      </w:r>
      <w:proofErr w:type="gramStart"/>
      <w:r w:rsidRPr="00EC1DAD">
        <w:t>odpadech  měl</w:t>
      </w:r>
      <w:proofErr w:type="gramEnd"/>
      <w:r w:rsidRPr="00EC1DAD">
        <w:t xml:space="preserve"> od nabytí účinnosti odpovídajících ustanovení již platné </w:t>
      </w:r>
      <w:proofErr w:type="spellStart"/>
      <w:r w:rsidRPr="00EC1DAD">
        <w:t>ekoauditové</w:t>
      </w:r>
      <w:proofErr w:type="spellEnd"/>
      <w:r w:rsidRPr="00EC1DAD">
        <w:t xml:space="preserve"> novely (č. 169/2013 Sb.) stanovovat povinnost zavedení označování zařízení pro nakládání s</w:t>
      </w:r>
      <w:r w:rsidR="002643E1">
        <w:t> </w:t>
      </w:r>
      <w:r w:rsidRPr="00EC1DAD">
        <w:t xml:space="preserve">odpady identifikačními čísly zařízení. V textu </w:t>
      </w:r>
      <w:proofErr w:type="spellStart"/>
      <w:r w:rsidRPr="00EC1DAD">
        <w:t>ekoauditové</w:t>
      </w:r>
      <w:proofErr w:type="spellEnd"/>
      <w:r w:rsidRPr="00EC1DAD">
        <w:t xml:space="preserve"> novely však chyb</w:t>
      </w:r>
      <w:r w:rsidR="00CC6214">
        <w:t>ěla</w:t>
      </w:r>
      <w:r w:rsidRPr="00EC1DAD">
        <w:t xml:space="preserve"> některá upřesnění nezbytná k tomu, aby bylo přidělování identifikačních čísel zařízení funkčně zavedeno, a aby byla při vedení evidence a ohlašování tato čísla používána. Příslušné ustanovení </w:t>
      </w:r>
      <w:proofErr w:type="spellStart"/>
      <w:r w:rsidRPr="00EC1DAD">
        <w:t>ekoauditové</w:t>
      </w:r>
      <w:proofErr w:type="spellEnd"/>
      <w:r w:rsidRPr="00EC1DAD">
        <w:t xml:space="preserve"> novely proto </w:t>
      </w:r>
      <w:r w:rsidR="00CC6214">
        <w:t xml:space="preserve">bylo </w:t>
      </w:r>
      <w:proofErr w:type="gramStart"/>
      <w:r w:rsidR="00CC6214">
        <w:t xml:space="preserve">zrušeno </w:t>
      </w:r>
      <w:r w:rsidRPr="00EC1DAD">
        <w:t xml:space="preserve"> </w:t>
      </w:r>
      <w:r w:rsidR="00C559A3">
        <w:rPr>
          <w:rFonts w:eastAsiaTheme="majorEastAsia"/>
          <w:lang w:bidi="en-US"/>
        </w:rPr>
        <w:t>zákon</w:t>
      </w:r>
      <w:r w:rsidR="00CC6214">
        <w:rPr>
          <w:rFonts w:eastAsiaTheme="majorEastAsia"/>
          <w:lang w:bidi="en-US"/>
        </w:rPr>
        <w:t>em</w:t>
      </w:r>
      <w:proofErr w:type="gramEnd"/>
      <w:r w:rsidR="00C559A3">
        <w:rPr>
          <w:rFonts w:eastAsiaTheme="majorEastAsia"/>
          <w:lang w:bidi="en-US"/>
        </w:rPr>
        <w:t xml:space="preserve"> č. 223/2015 Sb., kterým se mění zákon o odpadech.</w:t>
      </w:r>
    </w:p>
    <w:p w:rsidR="00131DF3" w:rsidRPr="00EC1DAD" w:rsidRDefault="00131DF3" w:rsidP="00131DF3">
      <w:pPr>
        <w:pStyle w:val="Nadpis3"/>
      </w:pPr>
      <w:r w:rsidRPr="00EC1DAD">
        <w:t>Identifikace dotčených subjektů</w:t>
      </w:r>
    </w:p>
    <w:p w:rsidR="00E11CDD" w:rsidRPr="00EC1DAD" w:rsidRDefault="00E11CDD" w:rsidP="00E11CDD">
      <w:pPr>
        <w:pStyle w:val="Odstavecseseznamem"/>
        <w:numPr>
          <w:ilvl w:val="0"/>
          <w:numId w:val="20"/>
        </w:numPr>
        <w:spacing w:after="0"/>
        <w:rPr>
          <w:rFonts w:cs="Arial"/>
        </w:rPr>
      </w:pPr>
      <w:r w:rsidRPr="00EC1DAD">
        <w:rPr>
          <w:rFonts w:cs="Arial"/>
        </w:rPr>
        <w:t>provozovatelé zařízení pro nakládání s odpady,</w:t>
      </w:r>
    </w:p>
    <w:p w:rsidR="00E11CDD" w:rsidRPr="00EC1DAD" w:rsidRDefault="00E11CDD" w:rsidP="00E11CDD">
      <w:pPr>
        <w:pStyle w:val="Odstavecseseznamem"/>
        <w:numPr>
          <w:ilvl w:val="0"/>
          <w:numId w:val="20"/>
        </w:numPr>
        <w:spacing w:after="0"/>
        <w:rPr>
          <w:rFonts w:cs="Arial"/>
        </w:rPr>
      </w:pPr>
      <w:r w:rsidRPr="00EC1DAD">
        <w:rPr>
          <w:rFonts w:cs="Arial"/>
        </w:rPr>
        <w:t>původci odpadů,</w:t>
      </w:r>
    </w:p>
    <w:p w:rsidR="00E420F3" w:rsidRDefault="00E11CDD">
      <w:pPr>
        <w:pStyle w:val="Odstavecseseznamem"/>
        <w:numPr>
          <w:ilvl w:val="0"/>
          <w:numId w:val="20"/>
        </w:numPr>
        <w:contextualSpacing/>
      </w:pPr>
      <w:r w:rsidRPr="00EC1DAD">
        <w:rPr>
          <w:rFonts w:cs="Arial"/>
        </w:rPr>
        <w:t>krajský úřad</w:t>
      </w:r>
      <w:r w:rsidR="00734520">
        <w:rPr>
          <w:rFonts w:cs="Arial"/>
        </w:rPr>
        <w:t xml:space="preserve"> (KÚ)</w:t>
      </w:r>
      <w:r w:rsidRPr="00EC1DAD">
        <w:rPr>
          <w:rFonts w:cs="Arial"/>
        </w:rPr>
        <w:t>.</w:t>
      </w:r>
    </w:p>
    <w:p w:rsidR="00E420F3" w:rsidRDefault="00734520">
      <w:r w:rsidRPr="00734520">
        <w:t>Identifikace dotčených subjektů vychází z praxe a zkušeností pracovníků odboru odpadů Ministerstva životního prostředí. Případná změna legislativy bude mít na výše uvedené subjekty přímý dopad.</w:t>
      </w:r>
    </w:p>
    <w:p w:rsidR="00131DF3" w:rsidRPr="00EC1DAD" w:rsidRDefault="00131DF3" w:rsidP="00131DF3">
      <w:pPr>
        <w:pStyle w:val="Nadpis3"/>
      </w:pPr>
      <w:r w:rsidRPr="00EC1DAD">
        <w:t>Popis cílového stavu</w:t>
      </w:r>
    </w:p>
    <w:p w:rsidR="00131DF3" w:rsidRPr="00EC1DAD" w:rsidRDefault="00394E6E" w:rsidP="00131DF3">
      <w:r w:rsidRPr="00EC1DAD">
        <w:rPr>
          <w:rFonts w:cs="Arial"/>
        </w:rPr>
        <w:t xml:space="preserve">Nastavení bližších podmínek přidělování identifikačních čísel zařízení tak, aby tato čísla byla skutečně funkčně používána a umožňovala zamýšlené zjednodušení vedení evidence </w:t>
      </w:r>
      <w:r w:rsidRPr="00EC1DAD">
        <w:rPr>
          <w:rFonts w:cs="Arial"/>
        </w:rPr>
        <w:lastRenderedPageBreak/>
        <w:t>a ohlašování odpadů tak, aby bylo možné účelně vyhodnocovat plány odpadového hospodářství a plnit reportingovou povinnost vůči Evropské komisi.</w:t>
      </w:r>
    </w:p>
    <w:p w:rsidR="00131DF3" w:rsidRPr="00EC1DAD" w:rsidRDefault="00131DF3" w:rsidP="00131DF3">
      <w:pPr>
        <w:pStyle w:val="Nadpis3"/>
      </w:pPr>
      <w:r w:rsidRPr="00EC1DAD">
        <w:t>Zhodnocení rizika</w:t>
      </w:r>
    </w:p>
    <w:p w:rsidR="00131DF3" w:rsidRPr="00EC1DAD" w:rsidRDefault="00394E6E" w:rsidP="00131DF3">
      <w:r w:rsidRPr="00EC1DAD">
        <w:t>Pokud nedojde k nastavení podrobných požadavků na přidělování a používání identifikačních čísel zařízení, nebude nastavená zákonná právní úprava aplikovatelná.</w:t>
      </w:r>
    </w:p>
    <w:p w:rsidR="00131DF3" w:rsidRPr="00EC1DAD" w:rsidRDefault="00131DF3" w:rsidP="00131DF3">
      <w:pPr>
        <w:pStyle w:val="Nadpis2"/>
      </w:pPr>
      <w:r w:rsidRPr="00EC1DAD">
        <w:t>Návrh variant řešení</w:t>
      </w:r>
    </w:p>
    <w:p w:rsidR="00131DF3" w:rsidRPr="00EC1DAD" w:rsidRDefault="00131DF3" w:rsidP="00131DF3">
      <w:pPr>
        <w:pStyle w:val="Nadpis3"/>
      </w:pPr>
      <w:r w:rsidRPr="00EC1DAD">
        <w:t>Varianta 0</w:t>
      </w:r>
    </w:p>
    <w:p w:rsidR="00131DF3" w:rsidRPr="00EC1DAD" w:rsidRDefault="00394E6E" w:rsidP="00131DF3">
      <w:r w:rsidRPr="00EC1DAD">
        <w:t>Ponechání této problematiky bez specifikace prováděcím právním předpisem.</w:t>
      </w:r>
    </w:p>
    <w:p w:rsidR="00131DF3" w:rsidRPr="00EC1DAD" w:rsidRDefault="00131DF3" w:rsidP="00131DF3">
      <w:pPr>
        <w:pStyle w:val="Nadpis3"/>
      </w:pPr>
      <w:r w:rsidRPr="00EC1DAD">
        <w:t>Varianta 1</w:t>
      </w:r>
    </w:p>
    <w:p w:rsidR="00131DF3" w:rsidRPr="00EC1DAD" w:rsidRDefault="00394E6E" w:rsidP="00131DF3">
      <w:r w:rsidRPr="00EC1DAD">
        <w:t>Nastavení přidělování identifikačního čísla zařízení tak, aby toto číslo obsahovalo identifikaci druhu zařízení, kterému je toto číslo přiděleno.</w:t>
      </w:r>
      <w:r w:rsidR="00CB1A58">
        <w:t xml:space="preserve"> P</w:t>
      </w:r>
      <w:r w:rsidR="00CB1A58" w:rsidRPr="00EC1DAD">
        <w:t>řidělit identifikační čísla těm subjektům, které ho zatím nemají</w:t>
      </w:r>
      <w:r w:rsidR="00CB1A58">
        <w:t xml:space="preserve"> a zároveň přidělit nová </w:t>
      </w:r>
      <w:r w:rsidR="00CB1A58" w:rsidRPr="00EC1DAD">
        <w:t xml:space="preserve">identifikační čísla </w:t>
      </w:r>
      <w:r w:rsidR="00CB1A58">
        <w:t xml:space="preserve">v jiném formátu </w:t>
      </w:r>
      <w:r w:rsidR="00CB1A58" w:rsidRPr="00EC1DAD">
        <w:t>těm subjektům</w:t>
      </w:r>
      <w:r w:rsidR="00CB1A58">
        <w:t>, které ho již mají. Dále přidělovat čísla novým zařízením teprve žádajícím o</w:t>
      </w:r>
      <w:r w:rsidR="00CE5995">
        <w:t> </w:t>
      </w:r>
      <w:r w:rsidR="00CB1A58">
        <w:t xml:space="preserve">souhlas k jejich provozu. </w:t>
      </w:r>
    </w:p>
    <w:p w:rsidR="00394E6E" w:rsidRPr="00EC1DAD" w:rsidRDefault="00394E6E" w:rsidP="00394E6E">
      <w:pPr>
        <w:pStyle w:val="Nadpis3"/>
      </w:pPr>
      <w:r w:rsidRPr="00EC1DAD">
        <w:t>Varianta 2</w:t>
      </w:r>
    </w:p>
    <w:p w:rsidR="00E420F3" w:rsidRDefault="00394E6E">
      <w:pPr>
        <w:rPr>
          <w:rFonts w:cs="Arial"/>
          <w:b/>
        </w:rPr>
      </w:pPr>
      <w:r w:rsidRPr="00EC1DAD">
        <w:t xml:space="preserve">Nastavit přidělování čísla tak, že se bude jednat o pořadové číslo zařízení v příslušném kraji s tím, že bude stanovena povinnost krajského úřadu přidělit samostatné identifikační číslo každému zařízení </w:t>
      </w:r>
      <w:r w:rsidR="00336D64" w:rsidRPr="00CC4E6F">
        <w:rPr>
          <w:rFonts w:cs="Arial"/>
          <w:b/>
        </w:rPr>
        <w:t>určenému k nakládání s vybranými výrobky, které se staly odpadem, uvedenými v § 25 odst. 1 písm. g) zákona a každému zařízení určenému k nakládání s vybranými výrobky, které se staly odpadem, uvedenými v § 25 odst. 1 písm. h) zákona</w:t>
      </w:r>
      <w:r w:rsidR="00336D64" w:rsidRPr="00611FB3">
        <w:rPr>
          <w:rFonts w:cs="Arial"/>
          <w:b/>
        </w:rPr>
        <w:t>.</w:t>
      </w:r>
    </w:p>
    <w:p w:rsidR="00394E6E" w:rsidRPr="00EC1DAD" w:rsidRDefault="00CB1A58" w:rsidP="00394E6E">
      <w:r>
        <w:t>N</w:t>
      </w:r>
      <w:r w:rsidR="00394E6E" w:rsidRPr="00EC1DAD">
        <w:t xml:space="preserve">avazující povinnost </w:t>
      </w:r>
      <w:r w:rsidR="00EB286F">
        <w:t xml:space="preserve">je stanovena pro </w:t>
      </w:r>
      <w:r w:rsidR="00394E6E" w:rsidRPr="00EC1DAD">
        <w:t>provozovatele zařízení</w:t>
      </w:r>
      <w:r w:rsidR="00EB286F">
        <w:t xml:space="preserve">, </w:t>
      </w:r>
      <w:r w:rsidR="00394E6E" w:rsidRPr="00EC1DAD">
        <w:t xml:space="preserve">používat </w:t>
      </w:r>
      <w:r w:rsidR="00EB286F">
        <w:t xml:space="preserve">toto identifikační číslo </w:t>
      </w:r>
      <w:r w:rsidR="00394E6E" w:rsidRPr="00EC1DAD">
        <w:t>při vedení odpadové evidence a ohlašování nakládání s</w:t>
      </w:r>
      <w:r w:rsidR="00EB286F">
        <w:t> </w:t>
      </w:r>
      <w:r w:rsidR="00394E6E" w:rsidRPr="00EC1DAD">
        <w:t>odpady</w:t>
      </w:r>
      <w:r w:rsidR="00EB286F">
        <w:t>.</w:t>
      </w:r>
      <w:r w:rsidR="00007C99" w:rsidRPr="00EC1DAD">
        <w:t xml:space="preserve"> Zjednodušeně řečeno </w:t>
      </w:r>
      <w:r w:rsidR="00EB286F">
        <w:t xml:space="preserve">je nutno </w:t>
      </w:r>
      <w:r w:rsidR="00007C99" w:rsidRPr="00EC1DAD">
        <w:t>přidělit identifikační čísla těm subjektům, které ho zatím nemají a</w:t>
      </w:r>
      <w:r w:rsidR="008E125C" w:rsidRPr="00EC1DAD">
        <w:t> </w:t>
      </w:r>
      <w:r w:rsidR="00007C99" w:rsidRPr="00EC1DAD">
        <w:t>zaslat jim ho formou sdělení.</w:t>
      </w:r>
      <w:r>
        <w:t xml:space="preserve"> Dále přidělovat čísla novým zařízením teprve žádajícím o souhlas k jejich provozu.</w:t>
      </w:r>
    </w:p>
    <w:p w:rsidR="00131DF3" w:rsidRPr="00EC1DAD" w:rsidRDefault="00131DF3" w:rsidP="00131DF3">
      <w:pPr>
        <w:pStyle w:val="Nadpis2"/>
      </w:pPr>
      <w:r w:rsidRPr="00EC1DAD">
        <w:t>Vyhodnocení nákladů a přínosů</w:t>
      </w:r>
    </w:p>
    <w:p w:rsidR="00131DF3" w:rsidRPr="00EC1DAD" w:rsidRDefault="00131DF3" w:rsidP="00131DF3">
      <w:pPr>
        <w:pStyle w:val="Nadpis3"/>
      </w:pPr>
      <w:r w:rsidRPr="00EC1DAD">
        <w:t>Identifikace nákladů a přínosů</w:t>
      </w:r>
    </w:p>
    <w:p w:rsidR="00131DF3" w:rsidRPr="00EC1DAD" w:rsidRDefault="00131DF3" w:rsidP="00131DF3">
      <w:pPr>
        <w:pStyle w:val="Odstavecseseznamem"/>
        <w:keepNext/>
        <w:numPr>
          <w:ilvl w:val="0"/>
          <w:numId w:val="14"/>
        </w:numPr>
        <w:spacing w:before="240"/>
      </w:pPr>
      <w:r w:rsidRPr="00EC1DAD">
        <w:t>Varianta 0</w:t>
      </w:r>
    </w:p>
    <w:p w:rsidR="00E420F3" w:rsidRDefault="006D1EDB">
      <w:pPr>
        <w:pStyle w:val="Normlntun"/>
      </w:pPr>
      <w:r>
        <w:rPr>
          <w:b w:val="0"/>
        </w:rPr>
        <w:t>Tato varianta nepřichází v úvahu, protože by bez ní nebylo možné plnit požadavky zákona o</w:t>
      </w:r>
      <w:r w:rsidR="00CE5995">
        <w:rPr>
          <w:b w:val="0"/>
        </w:rPr>
        <w:t> </w:t>
      </w:r>
      <w:r>
        <w:rPr>
          <w:b w:val="0"/>
        </w:rPr>
        <w:t xml:space="preserve">odpadech. </w:t>
      </w:r>
    </w:p>
    <w:p w:rsidR="00131DF3" w:rsidRPr="00EC1DAD" w:rsidRDefault="00131DF3" w:rsidP="00131DF3">
      <w:pPr>
        <w:pStyle w:val="Odstavecseseznamem"/>
        <w:keepNext/>
        <w:numPr>
          <w:ilvl w:val="0"/>
          <w:numId w:val="14"/>
        </w:numPr>
        <w:spacing w:before="240"/>
        <w:ind w:left="714" w:hanging="357"/>
      </w:pPr>
      <w:r w:rsidRPr="00EC1DAD">
        <w:t>Varianta 1</w:t>
      </w:r>
    </w:p>
    <w:p w:rsidR="001E1013" w:rsidRPr="00EC1DAD" w:rsidRDefault="001E1013" w:rsidP="00131DF3">
      <w:pPr>
        <w:pStyle w:val="Normlntun"/>
      </w:pPr>
      <w:r w:rsidRPr="00EC1DAD">
        <w:t>Dopady na státní rozpočet</w:t>
      </w:r>
      <w:r w:rsidR="003D3DF1" w:rsidRPr="00EC1DAD">
        <w:t xml:space="preserve"> a ostatní veřejné rozpočty</w:t>
      </w:r>
    </w:p>
    <w:p w:rsidR="001E1013" w:rsidRPr="00EC1DAD" w:rsidRDefault="001E1013" w:rsidP="001E1013">
      <w:r w:rsidRPr="00EC1DAD">
        <w:t>V případě zavedení kompletně nového systému přidělování IČZ by bylo nutné pořídit nový software, jehož cena se pohybuje v řádech miliónů korun</w:t>
      </w:r>
      <w:r w:rsidR="003D3DF1" w:rsidRPr="00EC1DAD">
        <w:t xml:space="preserve"> a samotný proces výběru dodavatele a zavedení nového systému by představoval další nezanedbatelnou </w:t>
      </w:r>
      <w:r w:rsidR="003D3DF1" w:rsidRPr="00EC1DAD">
        <w:lastRenderedPageBreak/>
        <w:t>administrativní zátěž. Přínosem by však byla jednodušší a přehlednější administrace dat a</w:t>
      </w:r>
      <w:r w:rsidR="003477A2" w:rsidRPr="00EC1DAD">
        <w:t> </w:t>
      </w:r>
      <w:r w:rsidR="003D3DF1" w:rsidRPr="00EC1DAD">
        <w:t xml:space="preserve">informací o zařízeních provozovaných na území </w:t>
      </w:r>
      <w:r w:rsidR="008D3343" w:rsidRPr="00EC1DAD">
        <w:t>České republiky.</w:t>
      </w:r>
    </w:p>
    <w:p w:rsidR="00131DF3" w:rsidRPr="00EC1DAD" w:rsidRDefault="00131DF3" w:rsidP="00131DF3">
      <w:pPr>
        <w:pStyle w:val="Normlntun"/>
      </w:pPr>
      <w:r w:rsidRPr="00EC1DAD">
        <w:t>Dopady na podnikatelské subjekty</w:t>
      </w:r>
    </w:p>
    <w:p w:rsidR="00E420F3" w:rsidRDefault="00C16308">
      <w:r>
        <w:t>Podnikatelské subjekty, které doposud nemají přidělené IČZ</w:t>
      </w:r>
      <w:r w:rsidR="009D0484">
        <w:t xml:space="preserve"> (d</w:t>
      </w:r>
      <w:r w:rsidR="009D0484" w:rsidRPr="00EC1DAD">
        <w:t xml:space="preserve">le zaslaných informací některými krajskými úřady odhadujeme, že IČZ má z přibližného počtu 10 tis. </w:t>
      </w:r>
      <w:r w:rsidR="009D0484">
        <w:t>zařízení</w:t>
      </w:r>
      <w:r w:rsidR="009D0484" w:rsidRPr="00EC1DAD">
        <w:t xml:space="preserve"> přiděleno cca 50 %</w:t>
      </w:r>
      <w:r w:rsidR="009D0484">
        <w:t>)</w:t>
      </w:r>
      <w:r>
        <w:t xml:space="preserve"> budou muset </w:t>
      </w:r>
      <w:r w:rsidR="006D1EDB">
        <w:t>v souladu s přechodným ustanovením v novelizačním zákoně jednorázově ohlásit provoz zařízení.</w:t>
      </w:r>
      <w:r w:rsidR="009D0484">
        <w:t xml:space="preserve"> Časová náročnost o</w:t>
      </w:r>
      <w:r w:rsidR="007E6C60">
        <w:t>hlášení provozu prostřednictvím datové schránky</w:t>
      </w:r>
      <w:r w:rsidR="009D0484">
        <w:t>,</w:t>
      </w:r>
      <w:r w:rsidR="00C21775">
        <w:t xml:space="preserve"> je dle údajů CENIA cca </w:t>
      </w:r>
      <w:r w:rsidR="007E6C60">
        <w:t>30</w:t>
      </w:r>
      <w:r w:rsidR="009D0484">
        <w:t xml:space="preserve"> minut. </w:t>
      </w:r>
      <w:r w:rsidR="00952280">
        <w:t>Hodinové náklady na zaměstnance podle Metodiky měření a přeměřování administrativní zátěže podnikatelů (MPO, 2013)</w:t>
      </w:r>
      <w:r w:rsidR="009A2866">
        <w:t xml:space="preserve"> jsou 250 Kč</w:t>
      </w:r>
      <w:r w:rsidR="00952280">
        <w:t xml:space="preserve">. </w:t>
      </w:r>
      <w:r w:rsidR="009D0484">
        <w:t>Celková jednorázová zátěž tedy představuje</w:t>
      </w:r>
      <w:r w:rsidR="00293C5D">
        <w:t xml:space="preserve"> při počtu 5 tisíc subjektů</w:t>
      </w:r>
      <w:r w:rsidR="00D066E4">
        <w:t xml:space="preserve"> 625 tisíc Kč</w:t>
      </w:r>
      <w:r w:rsidR="0030671F">
        <w:t>.</w:t>
      </w:r>
      <w:r w:rsidR="000E28A7">
        <w:t xml:space="preserve"> </w:t>
      </w:r>
      <w:r>
        <w:t>U</w:t>
      </w:r>
      <w:r w:rsidR="000E28A7">
        <w:t> </w:t>
      </w:r>
      <w:r>
        <w:t>ostatních podnikatelských subjektů n</w:t>
      </w:r>
      <w:r w:rsidR="00BD1433" w:rsidRPr="00EC1DAD">
        <w:t xml:space="preserve">epředpokládáme navýšení administrativní zátěže podnikatelským subjektům, protože </w:t>
      </w:r>
      <w:r w:rsidR="006D1EDB">
        <w:t>za</w:t>
      </w:r>
      <w:r w:rsidR="005D10BF">
        <w:t>řízení, která již mají přiděleno identifikační číslo, krajský úřad automaticky toto číslo změní a sdělí.</w:t>
      </w:r>
      <w:r w:rsidR="006D1EDB">
        <w:t xml:space="preserve"> </w:t>
      </w:r>
      <w:r w:rsidR="005D10BF">
        <w:t>U zařízení, u kterých bude souhlas vydáván nově, bude krajský úřad identifikační čísla přidělovat rovněž automaticky.</w:t>
      </w:r>
    </w:p>
    <w:p w:rsidR="00E420F3" w:rsidRDefault="00347D86">
      <w:r>
        <w:rPr>
          <w:b/>
        </w:rPr>
        <w:t>Dopady na územní samosprávné celky (obce, kraje)</w:t>
      </w:r>
    </w:p>
    <w:p w:rsidR="00131DF3" w:rsidRPr="00EC1DAD" w:rsidRDefault="008E125C" w:rsidP="00131DF3">
      <w:r w:rsidRPr="00EC1DAD">
        <w:t>V případě potřeby přidělovat všem cca 10 tis. zařízení nová IČZ odhadujeme administrativní zátěž ve výši cca 3,1 mil. Kč</w:t>
      </w:r>
      <w:r w:rsidR="00AE0687">
        <w:t xml:space="preserve"> — 3,4 mil. Kč</w:t>
      </w:r>
      <w:r w:rsidRPr="00EC1DAD">
        <w:t xml:space="preserve"> při časové náročnosti 1 hodina (dle Metodiky MV, platová třída 10–11).</w:t>
      </w:r>
      <w:r w:rsidR="00265CD0" w:rsidRPr="00EC1DAD">
        <w:t xml:space="preserve"> Dalším nákladem by byla potřebná úprava používaného softwaru, který by kraje musel</w:t>
      </w:r>
      <w:r w:rsidR="008B098E">
        <w:t>y</w:t>
      </w:r>
      <w:r w:rsidR="00265CD0" w:rsidRPr="00EC1DAD">
        <w:t xml:space="preserve"> v rámci updatu zaplatit.</w:t>
      </w:r>
    </w:p>
    <w:p w:rsidR="00394E6E" w:rsidRPr="00EC1DAD" w:rsidRDefault="00394E6E" w:rsidP="00394E6E">
      <w:pPr>
        <w:pStyle w:val="Odstavecseseznamem"/>
        <w:keepNext/>
        <w:numPr>
          <w:ilvl w:val="0"/>
          <w:numId w:val="14"/>
        </w:numPr>
        <w:spacing w:before="240"/>
      </w:pPr>
      <w:r w:rsidRPr="00EC1DAD">
        <w:t>Varianta 2</w:t>
      </w:r>
    </w:p>
    <w:p w:rsidR="003D3DF1" w:rsidRPr="00EC1DAD" w:rsidRDefault="003D3DF1" w:rsidP="00394E6E">
      <w:pPr>
        <w:pStyle w:val="Normlntun"/>
      </w:pPr>
      <w:r w:rsidRPr="00EC1DAD">
        <w:t>Dopad na státní rozpočet a ostatní veřejné rozpočty</w:t>
      </w:r>
    </w:p>
    <w:p w:rsidR="002465B0" w:rsidRDefault="003D3DF1" w:rsidP="000D4D37">
      <w:r w:rsidRPr="00EC1DAD">
        <w:t xml:space="preserve">Přínosem navržené varianty je </w:t>
      </w:r>
      <w:r w:rsidR="002B684E" w:rsidRPr="00EC1DAD">
        <w:t>identifikace jednotlivých zařízení</w:t>
      </w:r>
      <w:r w:rsidRPr="00EC1DAD">
        <w:t xml:space="preserve"> jednoho subjektu a tím jednodušší a přehlednější administrativní činnost spojená se zaslanými daty a informacemi daných subjektů. </w:t>
      </w:r>
    </w:p>
    <w:p w:rsidR="00E420F3" w:rsidRDefault="00394E6E">
      <w:pPr>
        <w:pStyle w:val="Normlntun"/>
      </w:pPr>
      <w:r w:rsidRPr="00EC1DAD">
        <w:t>Dopady na podnikatelské subjekty</w:t>
      </w:r>
    </w:p>
    <w:p w:rsidR="005D10BF" w:rsidRDefault="008E125C" w:rsidP="008E125C">
      <w:r w:rsidRPr="00EC1DAD">
        <w:t xml:space="preserve">Nepředpokládáme navýšení administrativní zátěže </w:t>
      </w:r>
      <w:r w:rsidR="0034095A">
        <w:t xml:space="preserve">u </w:t>
      </w:r>
      <w:r w:rsidRPr="00EC1DAD">
        <w:t>podnikatelský</w:t>
      </w:r>
      <w:r w:rsidR="0034095A">
        <w:t>ch</w:t>
      </w:r>
      <w:r w:rsidRPr="00EC1DAD">
        <w:t xml:space="preserve"> subjektů</w:t>
      </w:r>
      <w:r w:rsidR="0034095A">
        <w:t>, které již mají přidělené IČZ,</w:t>
      </w:r>
      <w:r w:rsidRPr="00EC1DAD">
        <w:t xml:space="preserve"> protože </w:t>
      </w:r>
      <w:r w:rsidR="0034095A">
        <w:t>toto</w:t>
      </w:r>
      <w:r w:rsidR="009D0484">
        <w:t xml:space="preserve"> číslo</w:t>
      </w:r>
      <w:r w:rsidR="0034095A">
        <w:t xml:space="preserve"> bude nadále platné. </w:t>
      </w:r>
      <w:r w:rsidR="005D10BF">
        <w:t xml:space="preserve">A zařízení, u kterých bude souhlas vydáván nově, bude krajský úřad identifikační čísla přidělovat automaticky. </w:t>
      </w:r>
    </w:p>
    <w:p w:rsidR="008E125C" w:rsidRPr="00EC1DAD" w:rsidRDefault="009D0484" w:rsidP="008E125C">
      <w:r>
        <w:t>Podnikatelské subjekty, které doposud nemají přidělené IČZ (d</w:t>
      </w:r>
      <w:r w:rsidRPr="00EC1DAD">
        <w:t xml:space="preserve">le zaslaných informací některými krajskými úřady odhadujeme, že IČZ má z přibližného počtu 10 tis. </w:t>
      </w:r>
      <w:r>
        <w:t>zařízení</w:t>
      </w:r>
      <w:r w:rsidRPr="00EC1DAD">
        <w:t xml:space="preserve"> přiděleno cca 50 %</w:t>
      </w:r>
      <w:r>
        <w:t>) budou muset v souladu s přechodným ustanovením v novelizačním zákoně jedno</w:t>
      </w:r>
      <w:r w:rsidR="00DC59F9">
        <w:t>rázově ohlásit provoz zařízení.</w:t>
      </w:r>
      <w:r>
        <w:t xml:space="preserve"> Časová náročnost</w:t>
      </w:r>
      <w:r w:rsidR="007E6C60">
        <w:t xml:space="preserve"> ohlášení provozu zařízení prostřednictvím datové schránky</w:t>
      </w:r>
      <w:r>
        <w:t>,</w:t>
      </w:r>
      <w:r w:rsidR="00C97F8B">
        <w:t xml:space="preserve"> je dle údajů CENIA cca </w:t>
      </w:r>
      <w:r w:rsidR="007E6C60">
        <w:t>30</w:t>
      </w:r>
      <w:r>
        <w:t xml:space="preserve"> minut. Celková jednorázová </w:t>
      </w:r>
      <w:r w:rsidR="00AE701F">
        <w:t xml:space="preserve">časová </w:t>
      </w:r>
      <w:r>
        <w:t xml:space="preserve">zátěž </w:t>
      </w:r>
      <w:r w:rsidR="00AE701F">
        <w:t>pro subjekty</w:t>
      </w:r>
      <w:r>
        <w:t xml:space="preserve"> </w:t>
      </w:r>
      <w:r w:rsidR="00AE701F">
        <w:t>je stejná jako</w:t>
      </w:r>
      <w:r w:rsidR="00492B05">
        <w:t xml:space="preserve"> ve Variantě 1</w:t>
      </w:r>
      <w:r w:rsidR="00AE701F">
        <w:t>, tedy</w:t>
      </w:r>
      <w:r w:rsidR="00D066E4">
        <w:t xml:space="preserve"> 625 tisíc Kč</w:t>
      </w:r>
      <w:r w:rsidR="00492B05">
        <w:t>.</w:t>
      </w:r>
    </w:p>
    <w:p w:rsidR="00394E6E" w:rsidRPr="00EC1DAD" w:rsidRDefault="00394E6E" w:rsidP="00394E6E">
      <w:pPr>
        <w:pStyle w:val="Normlntun"/>
      </w:pPr>
      <w:r w:rsidRPr="00EC1DAD">
        <w:t>Dopady na územní samosprávné celky (obce, kraje)</w:t>
      </w:r>
    </w:p>
    <w:p w:rsidR="00394E6E" w:rsidRDefault="009D0484" w:rsidP="00394E6E">
      <w:r w:rsidRPr="00EC1DAD">
        <w:t>Dle zaslaných informací některými krajskými úřady odhadujeme, že IČZ má z př</w:t>
      </w:r>
      <w:r>
        <w:t>ibližného počtu 10 tis. zařízení</w:t>
      </w:r>
      <w:r w:rsidRPr="00EC1DAD">
        <w:t xml:space="preserve"> přiděleno cca 50 %. </w:t>
      </w:r>
      <w:r w:rsidR="006D1EDB">
        <w:t>B</w:t>
      </w:r>
      <w:r w:rsidR="008E125C" w:rsidRPr="00EC1DAD">
        <w:t xml:space="preserve">ude nutné </w:t>
      </w:r>
      <w:r w:rsidR="00F34D86" w:rsidRPr="00EC1DAD">
        <w:t xml:space="preserve">formou sdělení </w:t>
      </w:r>
      <w:r w:rsidR="008E125C" w:rsidRPr="00EC1DAD">
        <w:t xml:space="preserve">přidělit IČZ zařízením, která ho zatím nemají přidělena, </w:t>
      </w:r>
      <w:r w:rsidR="005D10BF">
        <w:t>zde</w:t>
      </w:r>
      <w:r w:rsidR="008E125C" w:rsidRPr="00EC1DAD">
        <w:t xml:space="preserve"> předpokládáme navýšení administrativní zátěže cca </w:t>
      </w:r>
      <w:r w:rsidR="009632C4">
        <w:t xml:space="preserve">1,55 </w:t>
      </w:r>
      <w:proofErr w:type="gramStart"/>
      <w:r w:rsidR="009632C4">
        <w:t>mil.</w:t>
      </w:r>
      <w:r w:rsidR="0074468B" w:rsidRPr="00EC1DAD">
        <w:t>–</w:t>
      </w:r>
      <w:r w:rsidR="009632C4">
        <w:t xml:space="preserve"> </w:t>
      </w:r>
      <w:r w:rsidR="0074468B" w:rsidRPr="00EC1DAD">
        <w:t>1</w:t>
      </w:r>
      <w:r w:rsidR="00AE701F">
        <w:t>,</w:t>
      </w:r>
      <w:r w:rsidR="009632C4">
        <w:t>7</w:t>
      </w:r>
      <w:proofErr w:type="gramEnd"/>
      <w:r w:rsidR="0074468B" w:rsidRPr="00EC1DAD">
        <w:t xml:space="preserve"> </w:t>
      </w:r>
      <w:r w:rsidR="00AE0687">
        <w:t>mil</w:t>
      </w:r>
      <w:r w:rsidR="0074468B" w:rsidRPr="00EC1DAD">
        <w:t>. Kč (dle Metodiky MV, časová náročnost 1 hodina, cca 5 tis. zařízení</w:t>
      </w:r>
      <w:r w:rsidR="00C3212D" w:rsidRPr="008B098E">
        <w:t>/14 KÚ</w:t>
      </w:r>
      <w:r w:rsidR="00F62D3D">
        <w:t>).</w:t>
      </w:r>
      <w:r w:rsidR="0074468B" w:rsidRPr="00EC1DAD">
        <w:t xml:space="preserve"> Jedná se o hrubý odhad a</w:t>
      </w:r>
      <w:r w:rsidR="0063426B" w:rsidRPr="00EC1DAD">
        <w:t> </w:t>
      </w:r>
      <w:r w:rsidR="0074468B" w:rsidRPr="00EC1DAD">
        <w:t xml:space="preserve">náklady jednotlivých krajů se mohou lišit v závislosti na </w:t>
      </w:r>
      <w:r w:rsidR="0074468B" w:rsidRPr="00EC1DAD">
        <w:lastRenderedPageBreak/>
        <w:t xml:space="preserve">aktuálním stavu již přidělených </w:t>
      </w:r>
      <w:r w:rsidR="00EF131E">
        <w:t xml:space="preserve">identifikačních čísel </w:t>
      </w:r>
      <w:r w:rsidR="0074468B" w:rsidRPr="00EC1DAD">
        <w:t>zařízení a případně procesního postupu, který se může mírně lišit a tím může být i časová náročnost na některých krajích vyšší.</w:t>
      </w:r>
      <w:r w:rsidR="002172E5">
        <w:t xml:space="preserve"> </w:t>
      </w:r>
    </w:p>
    <w:p w:rsidR="002172E5" w:rsidRPr="00EC1DAD" w:rsidRDefault="002172E5" w:rsidP="00394E6E">
      <w:r>
        <w:t>Předpokládáme, že si kraje pokryjí tyto dopady v rámci příspěvku na výkon státní správy, který byl pro rok 2016 navýšen o 29 mil. Kč. (zdroj: MF)</w:t>
      </w:r>
    </w:p>
    <w:p w:rsidR="00131DF3" w:rsidRPr="00EC1DAD" w:rsidRDefault="00131DF3" w:rsidP="00131DF3">
      <w:pPr>
        <w:pStyle w:val="Nadpis3"/>
      </w:pPr>
      <w:r w:rsidRPr="00EC1DAD">
        <w:t>Vyhodnocení nákladů a přínosů variant</w:t>
      </w:r>
    </w:p>
    <w:p w:rsidR="00131DF3" w:rsidRPr="00EC1DAD" w:rsidRDefault="00131DF3" w:rsidP="00131DF3">
      <w:pPr>
        <w:pStyle w:val="Titulek"/>
        <w:keepNext/>
      </w:pPr>
      <w:r w:rsidRPr="00EC1DAD">
        <w:t xml:space="preserve">Tabulka </w:t>
      </w:r>
      <w:r w:rsidR="002A5461">
        <w:fldChar w:fldCharType="begin"/>
      </w:r>
      <w:r w:rsidR="000A23C9">
        <w:instrText xml:space="preserve"> SEQ Tabulka \* ARABIC </w:instrText>
      </w:r>
      <w:r w:rsidR="002A5461">
        <w:fldChar w:fldCharType="separate"/>
      </w:r>
      <w:r w:rsidR="006F7321">
        <w:rPr>
          <w:noProof/>
        </w:rPr>
        <w:t>4</w:t>
      </w:r>
      <w:r w:rsidR="002A5461">
        <w:rPr>
          <w:noProof/>
        </w:rPr>
        <w:fldChar w:fldCharType="end"/>
      </w:r>
      <w:r w:rsidRPr="00EC1DAD">
        <w:t>: Porovnání nákladů a přínosů</w:t>
      </w:r>
    </w:p>
    <w:p w:rsidR="00131DF3" w:rsidRPr="00EC1DAD" w:rsidRDefault="002172E5" w:rsidP="00131DF3">
      <w:r w:rsidRPr="002172E5">
        <w:t xml:space="preserve"> </w:t>
      </w:r>
      <w:r w:rsidR="00301901">
        <w:rPr>
          <w:noProof/>
          <w:lang w:eastAsia="cs-CZ"/>
        </w:rPr>
        <w:drawing>
          <wp:inline distT="0" distB="0" distL="0" distR="0">
            <wp:extent cx="5760720" cy="6034200"/>
            <wp:effectExtent l="0" t="0" r="0" b="508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6034200"/>
                    </a:xfrm>
                    <a:prstGeom prst="rect">
                      <a:avLst/>
                    </a:prstGeom>
                    <a:noFill/>
                    <a:ln>
                      <a:noFill/>
                    </a:ln>
                  </pic:spPr>
                </pic:pic>
              </a:graphicData>
            </a:graphic>
          </wp:inline>
        </w:drawing>
      </w:r>
    </w:p>
    <w:p w:rsidR="001C2922" w:rsidRDefault="001C2922" w:rsidP="001C2922">
      <w:r>
        <w:t>Vyhodnocení nákladů a přínosů vychází z dostupných informací a dat. V některých případech však není možné hodnocení provést kvantitativně, ale musí být provedeno kvalitativně prostřednictvím subjektivního hodnocení dopadů pracovníky ministerstva, kteří vychází ze zkušeností a dlouholeté praxe v odpadovém hospodářství či provedených konzultací.</w:t>
      </w:r>
    </w:p>
    <w:p w:rsidR="00131DF3" w:rsidRPr="00EC1DAD" w:rsidRDefault="00131DF3" w:rsidP="00131DF3">
      <w:pPr>
        <w:pStyle w:val="Nadpis2"/>
      </w:pPr>
      <w:r w:rsidRPr="00EC1DAD">
        <w:lastRenderedPageBreak/>
        <w:t>Návrh řešení</w:t>
      </w:r>
    </w:p>
    <w:p w:rsidR="00131DF3" w:rsidRPr="00EC1DAD" w:rsidRDefault="00131DF3" w:rsidP="00131DF3">
      <w:pPr>
        <w:pStyle w:val="Nadpis3"/>
      </w:pPr>
      <w:r w:rsidRPr="00EC1DAD">
        <w:t>Stanovení pořadí variant a výběr nejvhodnějšího řešení</w:t>
      </w:r>
    </w:p>
    <w:p w:rsidR="00131DF3" w:rsidRPr="00EC1DAD" w:rsidRDefault="00131DF3" w:rsidP="00131DF3">
      <w:pPr>
        <w:pStyle w:val="Odstavecseseznamem"/>
        <w:numPr>
          <w:ilvl w:val="0"/>
          <w:numId w:val="12"/>
        </w:numPr>
        <w:contextualSpacing/>
        <w:rPr>
          <w:b/>
          <w:bCs/>
        </w:rPr>
      </w:pPr>
      <w:r w:rsidRPr="00EC1DAD">
        <w:rPr>
          <w:b/>
          <w:bCs/>
        </w:rPr>
        <w:t xml:space="preserve">Varianta </w:t>
      </w:r>
      <w:r w:rsidR="00466E57" w:rsidRPr="00EC1DAD">
        <w:rPr>
          <w:b/>
          <w:bCs/>
        </w:rPr>
        <w:t>2</w:t>
      </w:r>
    </w:p>
    <w:p w:rsidR="00131DF3" w:rsidRPr="00EC1DAD" w:rsidRDefault="00131DF3" w:rsidP="00131DF3">
      <w:pPr>
        <w:pStyle w:val="Odstavecseseznamem"/>
        <w:numPr>
          <w:ilvl w:val="0"/>
          <w:numId w:val="12"/>
        </w:numPr>
        <w:ind w:left="714" w:hanging="357"/>
        <w:contextualSpacing/>
      </w:pPr>
      <w:r w:rsidRPr="00EC1DAD">
        <w:t xml:space="preserve">Varianta </w:t>
      </w:r>
      <w:r w:rsidR="00466E57" w:rsidRPr="00EC1DAD">
        <w:t>1</w:t>
      </w:r>
    </w:p>
    <w:p w:rsidR="000D7833" w:rsidRPr="00EC1DAD" w:rsidRDefault="000D7833" w:rsidP="00131DF3">
      <w:pPr>
        <w:pStyle w:val="Odstavecseseznamem"/>
        <w:numPr>
          <w:ilvl w:val="0"/>
          <w:numId w:val="12"/>
        </w:numPr>
        <w:ind w:left="714" w:hanging="357"/>
        <w:contextualSpacing/>
      </w:pPr>
      <w:r w:rsidRPr="00EC1DAD">
        <w:t xml:space="preserve">Varianta </w:t>
      </w:r>
      <w:r w:rsidR="00466E57" w:rsidRPr="00EC1DAD">
        <w:t>0</w:t>
      </w:r>
    </w:p>
    <w:p w:rsidR="00667F06" w:rsidRDefault="00466E57" w:rsidP="00667F06">
      <w:r w:rsidRPr="00EC1DAD">
        <w:t>Na základě porovnání variant doporučujeme Variantu 2, která představuje zlepšení činnosti státní správy za minimální náklady.</w:t>
      </w:r>
    </w:p>
    <w:p w:rsidR="007B1680" w:rsidRPr="00EC1DAD" w:rsidRDefault="007B1680" w:rsidP="007B1680">
      <w:pPr>
        <w:pStyle w:val="Nadpis1"/>
        <w:ind w:left="432" w:hanging="432"/>
        <w:rPr>
          <w:rFonts w:cs="Arial"/>
          <w:szCs w:val="22"/>
        </w:rPr>
      </w:pPr>
      <w:r>
        <w:rPr>
          <w:rFonts w:cs="Arial"/>
          <w:szCs w:val="22"/>
        </w:rPr>
        <w:t xml:space="preserve">Rozšíření obsahu identifikačního listu nebezpečného odpadu (ILNO) </w:t>
      </w:r>
    </w:p>
    <w:p w:rsidR="007B1680" w:rsidRDefault="007B1680" w:rsidP="007B1680">
      <w:pPr>
        <w:pStyle w:val="Nadpis2"/>
      </w:pPr>
      <w:r>
        <w:t>Důvod předložení a cíle</w:t>
      </w:r>
    </w:p>
    <w:p w:rsidR="007B1680" w:rsidRDefault="007B1680" w:rsidP="007B1680">
      <w:pPr>
        <w:pStyle w:val="Nadpis3"/>
      </w:pPr>
      <w:r w:rsidRPr="00546E8A">
        <w:t>Definice problému</w:t>
      </w:r>
    </w:p>
    <w:p w:rsidR="007B1680" w:rsidRPr="002A7AE1" w:rsidRDefault="007B1680" w:rsidP="007B1680">
      <w:r>
        <w:rPr>
          <w:szCs w:val="22"/>
        </w:rPr>
        <w:t xml:space="preserve">Identifikační list nebezpečného odpadu (dále </w:t>
      </w:r>
      <w:r w:rsidRPr="007F5A80">
        <w:rPr>
          <w:szCs w:val="22"/>
        </w:rPr>
        <w:t>ILNO</w:t>
      </w:r>
      <w:r>
        <w:rPr>
          <w:szCs w:val="22"/>
        </w:rPr>
        <w:t>)</w:t>
      </w:r>
      <w:r w:rsidRPr="007F5A80">
        <w:rPr>
          <w:szCs w:val="22"/>
        </w:rPr>
        <w:t xml:space="preserve"> je jediná komplexní informace o NO, kterou potřebují všechny osoby, které nakládají ve všech</w:t>
      </w:r>
      <w:r>
        <w:rPr>
          <w:szCs w:val="22"/>
        </w:rPr>
        <w:t xml:space="preserve"> fázích s NO (včetně dopravy) a </w:t>
      </w:r>
      <w:r w:rsidRPr="007F5A80">
        <w:rPr>
          <w:szCs w:val="22"/>
        </w:rPr>
        <w:t>musí dbát na bezpečnostní poky</w:t>
      </w:r>
      <w:r>
        <w:rPr>
          <w:szCs w:val="22"/>
        </w:rPr>
        <w:t xml:space="preserve">ny pro ochranu ŽP a zdraví lidí, proto je nutné znát informace </w:t>
      </w:r>
      <w:r w:rsidRPr="007F5A80">
        <w:rPr>
          <w:szCs w:val="22"/>
        </w:rPr>
        <w:t>o fyzikálních a chemických vlastnostech</w:t>
      </w:r>
      <w:r>
        <w:rPr>
          <w:szCs w:val="22"/>
        </w:rPr>
        <w:t xml:space="preserve"> a identifikace nebezpečnosti.</w:t>
      </w:r>
    </w:p>
    <w:p w:rsidR="007B1680" w:rsidRDefault="007B1680" w:rsidP="007B1680">
      <w:pPr>
        <w:pStyle w:val="Nadpis3"/>
      </w:pPr>
      <w:r w:rsidRPr="00546E8A">
        <w:t>Popis existujícího právního stavu v dané oblasti</w:t>
      </w:r>
    </w:p>
    <w:p w:rsidR="007B1680" w:rsidRPr="002A7AE1" w:rsidRDefault="007B1680" w:rsidP="007B1680">
      <w:r>
        <w:t xml:space="preserve">Současný stav obsahu identifikačního listu nebezpečného odpadu neobsahuje identifikaci nebezpečnosti na základě kódu a názvu nebezpečné vlastnosti odpadu. </w:t>
      </w:r>
    </w:p>
    <w:p w:rsidR="007B1680" w:rsidRPr="00546E8A" w:rsidRDefault="007B1680" w:rsidP="007B1680">
      <w:pPr>
        <w:pStyle w:val="Nadpis3"/>
      </w:pPr>
      <w:r w:rsidRPr="00546E8A">
        <w:t>Identifikace dotčených subjektů</w:t>
      </w:r>
    </w:p>
    <w:p w:rsidR="007B1680" w:rsidRDefault="0061591A" w:rsidP="007B1680">
      <w:pPr>
        <w:pStyle w:val="Odstavecseseznamem"/>
        <w:numPr>
          <w:ilvl w:val="0"/>
          <w:numId w:val="27"/>
        </w:numPr>
        <w:contextualSpacing/>
      </w:pPr>
      <w:r>
        <w:t>původci odpadů</w:t>
      </w:r>
    </w:p>
    <w:p w:rsidR="007B1680" w:rsidRDefault="007B1680" w:rsidP="007B1680">
      <w:pPr>
        <w:pStyle w:val="Nadpis3"/>
      </w:pPr>
      <w:r w:rsidRPr="00546E8A">
        <w:t>Popis cílového stavu</w:t>
      </w:r>
    </w:p>
    <w:p w:rsidR="007B1680" w:rsidRPr="002A7AE1" w:rsidRDefault="007B1680" w:rsidP="007B1680">
      <w:r>
        <w:rPr>
          <w:szCs w:val="22"/>
        </w:rPr>
        <w:t>Cílovým stavem je</w:t>
      </w:r>
      <w:r w:rsidRPr="007F5A80">
        <w:rPr>
          <w:szCs w:val="22"/>
        </w:rPr>
        <w:t xml:space="preserve"> dbát na bezpečnostní pokyny pro ochranu ŽP a zdraví lidí</w:t>
      </w:r>
      <w:r>
        <w:rPr>
          <w:szCs w:val="22"/>
        </w:rPr>
        <w:t xml:space="preserve"> díky poznání</w:t>
      </w:r>
      <w:r w:rsidRPr="007F5A80">
        <w:rPr>
          <w:szCs w:val="22"/>
        </w:rPr>
        <w:t xml:space="preserve"> </w:t>
      </w:r>
      <w:r>
        <w:rPr>
          <w:szCs w:val="22"/>
        </w:rPr>
        <w:t>informací</w:t>
      </w:r>
      <w:r w:rsidRPr="007F5A80">
        <w:rPr>
          <w:szCs w:val="22"/>
        </w:rPr>
        <w:t xml:space="preserve"> o fyzikálních a chemických vlastnostech z hlediska jejich další nakládání s těmito odpady.</w:t>
      </w:r>
    </w:p>
    <w:p w:rsidR="007B1680" w:rsidRDefault="007B1680" w:rsidP="007B1680">
      <w:pPr>
        <w:pStyle w:val="Nadpis3"/>
      </w:pPr>
      <w:r w:rsidRPr="00546E8A">
        <w:t>Zhodnocení rizika</w:t>
      </w:r>
    </w:p>
    <w:p w:rsidR="007B1680" w:rsidRPr="002A7AE1" w:rsidRDefault="007B1680" w:rsidP="007B1680">
      <w:r w:rsidRPr="00EC1DAD">
        <w:t>Administrat</w:t>
      </w:r>
      <w:r>
        <w:t xml:space="preserve">ivní a finanční náročnost pro </w:t>
      </w:r>
      <w:r w:rsidRPr="00EC1DAD">
        <w:rPr>
          <w:rFonts w:cs="Arial"/>
        </w:rPr>
        <w:t>provozovatelé zařízení pro nakládání s</w:t>
      </w:r>
      <w:r>
        <w:rPr>
          <w:rFonts w:cs="Arial"/>
        </w:rPr>
        <w:t> </w:t>
      </w:r>
      <w:r w:rsidRPr="00EC1DAD">
        <w:rPr>
          <w:rFonts w:cs="Arial"/>
        </w:rPr>
        <w:t>odpady</w:t>
      </w:r>
      <w:r>
        <w:t>.</w:t>
      </w:r>
    </w:p>
    <w:p w:rsidR="007B1680" w:rsidRPr="00546E8A" w:rsidRDefault="007B1680" w:rsidP="007B1680">
      <w:pPr>
        <w:pStyle w:val="Nadpis2"/>
      </w:pPr>
      <w:r w:rsidRPr="00546E8A">
        <w:t>Návrh variant řešení</w:t>
      </w:r>
    </w:p>
    <w:p w:rsidR="007B1680" w:rsidRDefault="007B1680" w:rsidP="007B1680">
      <w:pPr>
        <w:pStyle w:val="Nadpis3"/>
      </w:pPr>
      <w:r w:rsidRPr="00546E8A">
        <w:t>Varianta 0</w:t>
      </w:r>
    </w:p>
    <w:p w:rsidR="007B1680" w:rsidRPr="002A7AE1" w:rsidRDefault="007B1680" w:rsidP="007B1680">
      <w:r>
        <w:t>Zachování aktuálního obsahu identifikačního listu nebezpečného odpadu.</w:t>
      </w:r>
    </w:p>
    <w:p w:rsidR="007B1680" w:rsidRDefault="007B1680" w:rsidP="007B1680">
      <w:pPr>
        <w:pStyle w:val="Nadpis3"/>
      </w:pPr>
      <w:r w:rsidRPr="00546E8A">
        <w:t>Varianta 1</w:t>
      </w:r>
    </w:p>
    <w:p w:rsidR="007B1680" w:rsidRDefault="007B1680" w:rsidP="007B1680">
      <w:pPr>
        <w:rPr>
          <w:szCs w:val="22"/>
        </w:rPr>
      </w:pPr>
      <w:r>
        <w:rPr>
          <w:szCs w:val="22"/>
        </w:rPr>
        <w:t>Doplnění obsahu ILNO o identifikaci nebezpečnosti odpadu. Důvodem pro navrženou úpravu ILNO je i skutečnost, že j</w:t>
      </w:r>
      <w:r w:rsidRPr="00542983">
        <w:rPr>
          <w:szCs w:val="22"/>
        </w:rPr>
        <w:t xml:space="preserve">edním ze strategických cílů v závazné části POH ČR je minimalizace nepříznivých účinků vzniku odpadů a nakládání s nimi na lidské zdraví a životní prostředí. Při uplatňování hierarchie nakládání s odpady reflektovat zásadu předběžné </w:t>
      </w:r>
      <w:r w:rsidRPr="00542983">
        <w:rPr>
          <w:szCs w:val="22"/>
        </w:rPr>
        <w:lastRenderedPageBreak/>
        <w:t>opatrnosti a předcházet nepříznivým vlivům nakládání s odpady na lidské zdraví a ž</w:t>
      </w:r>
      <w:r>
        <w:rPr>
          <w:szCs w:val="22"/>
        </w:rPr>
        <w:t>ivotní prostředí.</w:t>
      </w:r>
    </w:p>
    <w:p w:rsidR="007B1680" w:rsidRPr="000C46EE" w:rsidRDefault="007B1680" w:rsidP="007B1680">
      <w:pPr>
        <w:rPr>
          <w:szCs w:val="22"/>
        </w:rPr>
      </w:pPr>
      <w:r>
        <w:rPr>
          <w:szCs w:val="22"/>
        </w:rPr>
        <w:t xml:space="preserve">Lze uvést </w:t>
      </w:r>
      <w:r w:rsidRPr="00542983">
        <w:rPr>
          <w:szCs w:val="22"/>
        </w:rPr>
        <w:t xml:space="preserve">také </w:t>
      </w:r>
      <w:r>
        <w:rPr>
          <w:szCs w:val="22"/>
        </w:rPr>
        <w:t xml:space="preserve">skutečnost, </w:t>
      </w:r>
      <w:r w:rsidRPr="00542983">
        <w:rPr>
          <w:szCs w:val="22"/>
        </w:rPr>
        <w:t>že pokud se z chemické látky stane odpad</w:t>
      </w:r>
      <w:r>
        <w:rPr>
          <w:szCs w:val="22"/>
        </w:rPr>
        <w:t>,</w:t>
      </w:r>
      <w:r w:rsidRPr="00542983">
        <w:rPr>
          <w:szCs w:val="22"/>
        </w:rPr>
        <w:t xml:space="preserve"> nejsou nikde popsány jeho skutečné vlastnosti</w:t>
      </w:r>
      <w:r>
        <w:rPr>
          <w:szCs w:val="22"/>
        </w:rPr>
        <w:t>,</w:t>
      </w:r>
      <w:r w:rsidRPr="00542983">
        <w:rPr>
          <w:szCs w:val="22"/>
        </w:rPr>
        <w:t xml:space="preserve"> a proto je toto jediný dokument (či rodný list odpadu), který je dokladem o jeho skutečných vlastnostech a vzniku tohoto odpadu.</w:t>
      </w:r>
    </w:p>
    <w:p w:rsidR="007B1680" w:rsidRDefault="007B1680" w:rsidP="007B1680">
      <w:pPr>
        <w:pStyle w:val="Nadpis2"/>
      </w:pPr>
      <w:r>
        <w:t>Vyhodnocení nákladů a přínosů</w:t>
      </w:r>
    </w:p>
    <w:p w:rsidR="007B1680" w:rsidRPr="006C2720" w:rsidRDefault="007B1680" w:rsidP="007B1680">
      <w:pPr>
        <w:pStyle w:val="Nadpis3"/>
      </w:pPr>
      <w:r>
        <w:t>Identifikace nákladů a přínosů</w:t>
      </w:r>
    </w:p>
    <w:p w:rsidR="007B1680" w:rsidRDefault="007B1680" w:rsidP="007B1680">
      <w:pPr>
        <w:pStyle w:val="Odstavecseseznamem"/>
        <w:keepNext/>
        <w:numPr>
          <w:ilvl w:val="0"/>
          <w:numId w:val="4"/>
        </w:numPr>
        <w:spacing w:before="240"/>
        <w:ind w:left="714" w:hanging="357"/>
      </w:pPr>
      <w:r w:rsidRPr="00546E8A">
        <w:t>Varianta 0</w:t>
      </w:r>
    </w:p>
    <w:p w:rsidR="007B1680" w:rsidRDefault="007B1680" w:rsidP="007B1680">
      <w:pPr>
        <w:pStyle w:val="Normlntun"/>
      </w:pPr>
      <w:r>
        <w:t>Dopady na podnikatelské subjekty</w:t>
      </w:r>
    </w:p>
    <w:p w:rsidR="007B1680" w:rsidRDefault="007B1680" w:rsidP="007B1680">
      <w:r>
        <w:t xml:space="preserve">V současnosti provozovatel skládky vyplňuje ILNO. Na základě konzultace čas potřebný na jeho vyplnění se pohybuje kolem 10 minut. </w:t>
      </w:r>
    </w:p>
    <w:p w:rsidR="007B1680" w:rsidRDefault="007B1680" w:rsidP="007B1680">
      <w:pPr>
        <w:pStyle w:val="Normlntun"/>
      </w:pPr>
      <w:r>
        <w:t>Dopady na životní prostředí</w:t>
      </w:r>
    </w:p>
    <w:p w:rsidR="007B1680" w:rsidRPr="00AF7E48" w:rsidRDefault="007B1680" w:rsidP="007B1680">
      <w:pPr>
        <w:rPr>
          <w:szCs w:val="22"/>
        </w:rPr>
      </w:pPr>
      <w:r w:rsidRPr="00542983">
        <w:rPr>
          <w:szCs w:val="22"/>
        </w:rPr>
        <w:t>Prevence je na úseku ochrany životního prostředí principem nejdůležitějším, neboť nejefektivnější environmentální politika je zalo</w:t>
      </w:r>
      <w:r>
        <w:rPr>
          <w:szCs w:val="22"/>
        </w:rPr>
        <w:t>žena na předcházení škodám na ŽP</w:t>
      </w:r>
      <w:r w:rsidRPr="00542983">
        <w:rPr>
          <w:szCs w:val="22"/>
        </w:rPr>
        <w:t xml:space="preserve">. Včasné zavádění preventivních opatření je účinnější a ekonomicky </w:t>
      </w:r>
      <w:r>
        <w:rPr>
          <w:szCs w:val="22"/>
        </w:rPr>
        <w:t>efektivnější než náprava škod v </w:t>
      </w:r>
      <w:r w:rsidRPr="00542983">
        <w:rPr>
          <w:szCs w:val="22"/>
        </w:rPr>
        <w:t>případě nevratně znečištěn</w:t>
      </w:r>
      <w:r>
        <w:rPr>
          <w:szCs w:val="22"/>
        </w:rPr>
        <w:t xml:space="preserve">ých složek životního prostředí. </w:t>
      </w:r>
      <w:r w:rsidRPr="00542983">
        <w:rPr>
          <w:szCs w:val="22"/>
        </w:rPr>
        <w:t>Pokud může hrozit nevratná škoda na zdraví lidí a zvířat nebo ž</w:t>
      </w:r>
      <w:r>
        <w:rPr>
          <w:szCs w:val="22"/>
        </w:rPr>
        <w:t xml:space="preserve">ivotního prostředí </w:t>
      </w:r>
      <w:r w:rsidRPr="00542983">
        <w:rPr>
          <w:szCs w:val="22"/>
        </w:rPr>
        <w:t>a jev není zatím dostatečně prozkoumán, jsou přesto přijímána preventivní opatření, aby nedošlo k ekonomickým ztrátám.</w:t>
      </w:r>
      <w:r>
        <w:rPr>
          <w:szCs w:val="22"/>
        </w:rPr>
        <w:t xml:space="preserve"> </w:t>
      </w:r>
    </w:p>
    <w:p w:rsidR="007B1680" w:rsidRDefault="007B1680" w:rsidP="007B1680">
      <w:pPr>
        <w:pStyle w:val="Odstavecseseznamem"/>
        <w:keepNext/>
        <w:numPr>
          <w:ilvl w:val="0"/>
          <w:numId w:val="4"/>
        </w:numPr>
        <w:spacing w:before="240"/>
        <w:ind w:left="714" w:hanging="357"/>
      </w:pPr>
      <w:r w:rsidRPr="00546E8A">
        <w:t>Varianta 1</w:t>
      </w:r>
    </w:p>
    <w:p w:rsidR="007B1680" w:rsidRDefault="007B1680" w:rsidP="007B1680">
      <w:pPr>
        <w:pStyle w:val="Normlntun"/>
      </w:pPr>
      <w:r>
        <w:t>Dopady na podnikatelské subjekty</w:t>
      </w:r>
    </w:p>
    <w:p w:rsidR="00C21775" w:rsidRDefault="00C21775" w:rsidP="007B1680">
      <w:pPr>
        <w:rPr>
          <w:szCs w:val="22"/>
        </w:rPr>
      </w:pPr>
      <w:r>
        <w:t>Původce odpadu ví</w:t>
      </w:r>
      <w:r w:rsidR="003A0334">
        <w:t>,</w:t>
      </w:r>
      <w:r>
        <w:t xml:space="preserve"> jaké materiály vstupují do technologie výroby, jaké jsou výstupy z této technologie a jaké mají tyto výstupy</w:t>
      </w:r>
      <w:r w:rsidR="007B1680">
        <w:t xml:space="preserve"> vlastnosti, proto i po konzultaci se znalcem v dané oblasti, dopad na provozovatele  je maximálně 5 minut na vyplnění klasifikace nebezpečných odpadů. Proto neexistuje </w:t>
      </w:r>
      <w:r w:rsidR="007B1680" w:rsidRPr="0087495F">
        <w:rPr>
          <w:szCs w:val="22"/>
        </w:rPr>
        <w:t>významný nárůst</w:t>
      </w:r>
      <w:r w:rsidR="007B1680">
        <w:rPr>
          <w:szCs w:val="22"/>
        </w:rPr>
        <w:t xml:space="preserve"> nákladů p</w:t>
      </w:r>
      <w:r>
        <w:rPr>
          <w:szCs w:val="22"/>
        </w:rPr>
        <w:t>ůvodců odpadů, nedochází ani ke</w:t>
      </w:r>
      <w:r w:rsidR="007B1680" w:rsidRPr="0087495F">
        <w:rPr>
          <w:szCs w:val="22"/>
        </w:rPr>
        <w:t xml:space="preserve"> snižování jejich konkurenceschopnosti v evropském a světovém měřítku.</w:t>
      </w:r>
      <w:r w:rsidR="007B1680">
        <w:rPr>
          <w:szCs w:val="22"/>
        </w:rPr>
        <w:t xml:space="preserve"> </w:t>
      </w:r>
    </w:p>
    <w:p w:rsidR="007B1680" w:rsidRPr="00BB4B5B" w:rsidRDefault="007B1680" w:rsidP="007B1680">
      <w:r>
        <w:rPr>
          <w:szCs w:val="22"/>
        </w:rPr>
        <w:t>Není nutné uvádět tabulku nebezpečných vlastností,</w:t>
      </w:r>
      <w:r w:rsidR="00C21775">
        <w:rPr>
          <w:szCs w:val="22"/>
        </w:rPr>
        <w:t xml:space="preserve"> je</w:t>
      </w:r>
      <w:r w:rsidRPr="007F5A80">
        <w:rPr>
          <w:szCs w:val="22"/>
        </w:rPr>
        <w:t xml:space="preserve"> dána možnost jen vyjmenování těcht</w:t>
      </w:r>
      <w:r w:rsidR="00C21775">
        <w:rPr>
          <w:szCs w:val="22"/>
        </w:rPr>
        <w:t>o vlastností a jejich značení, proto se předpokládá v</w:t>
      </w:r>
      <w:r w:rsidRPr="007F5A80">
        <w:rPr>
          <w:szCs w:val="22"/>
        </w:rPr>
        <w:t>eliko</w:t>
      </w:r>
      <w:r>
        <w:rPr>
          <w:szCs w:val="22"/>
        </w:rPr>
        <w:t>st dokumentu na</w:t>
      </w:r>
      <w:r w:rsidRPr="007F5A80">
        <w:rPr>
          <w:szCs w:val="22"/>
        </w:rPr>
        <w:t xml:space="preserve"> </w:t>
      </w:r>
      <w:r>
        <w:rPr>
          <w:szCs w:val="22"/>
        </w:rPr>
        <w:t>jednu dvoustranu</w:t>
      </w:r>
      <w:r w:rsidRPr="007F5A80">
        <w:rPr>
          <w:szCs w:val="22"/>
        </w:rPr>
        <w:t>.</w:t>
      </w:r>
    </w:p>
    <w:p w:rsidR="007B1680" w:rsidRDefault="007B1680" w:rsidP="007B1680">
      <w:pPr>
        <w:pStyle w:val="Normlntun"/>
      </w:pPr>
      <w:r>
        <w:t>Dopady na životní prostředí</w:t>
      </w:r>
    </w:p>
    <w:p w:rsidR="007B1680" w:rsidRPr="00E9751E" w:rsidRDefault="007B1680" w:rsidP="007B1680">
      <w:r>
        <w:t>Dopad na životní prostředí je pozitivní, z</w:t>
      </w:r>
      <w:r w:rsidRPr="00175EF1">
        <w:rPr>
          <w:rFonts w:eastAsia="Calibri"/>
          <w:color w:val="000000"/>
          <w:szCs w:val="22"/>
        </w:rPr>
        <w:t xml:space="preserve"> </w:t>
      </w:r>
      <w:r w:rsidRPr="007F5A80">
        <w:rPr>
          <w:szCs w:val="22"/>
        </w:rPr>
        <w:t>důvodu zabezpečení vyšší ochrany ŽP a</w:t>
      </w:r>
      <w:r>
        <w:rPr>
          <w:szCs w:val="22"/>
        </w:rPr>
        <w:t>le i</w:t>
      </w:r>
      <w:r w:rsidRPr="007F5A80">
        <w:rPr>
          <w:szCs w:val="22"/>
        </w:rPr>
        <w:t xml:space="preserve"> zdraví lidí</w:t>
      </w:r>
      <w:r>
        <w:rPr>
          <w:szCs w:val="22"/>
        </w:rPr>
        <w:t xml:space="preserve"> (* až *****).</w:t>
      </w:r>
    </w:p>
    <w:p w:rsidR="007B1680" w:rsidRDefault="007B1680" w:rsidP="007B1680">
      <w:pPr>
        <w:pStyle w:val="Nadpis3"/>
      </w:pPr>
      <w:r w:rsidRPr="00546E8A">
        <w:t>Vyhodnocení nákladů a přínosů variant</w:t>
      </w:r>
    </w:p>
    <w:p w:rsidR="007B1680" w:rsidRDefault="007B1680" w:rsidP="007B1680"/>
    <w:p w:rsidR="007B1680" w:rsidRDefault="007B1680" w:rsidP="007B1680">
      <w:pPr>
        <w:pStyle w:val="Titulek"/>
        <w:keepNext/>
      </w:pPr>
      <w:r>
        <w:lastRenderedPageBreak/>
        <w:t xml:space="preserve">Tabulka </w:t>
      </w:r>
      <w:r w:rsidR="002A5461">
        <w:fldChar w:fldCharType="begin"/>
      </w:r>
      <w:r>
        <w:instrText xml:space="preserve"> SEQ Tabulka \* ARABIC </w:instrText>
      </w:r>
      <w:r w:rsidR="002A5461">
        <w:fldChar w:fldCharType="separate"/>
      </w:r>
      <w:r w:rsidR="006F7321">
        <w:rPr>
          <w:noProof/>
        </w:rPr>
        <w:t>5</w:t>
      </w:r>
      <w:r w:rsidR="002A5461">
        <w:fldChar w:fldCharType="end"/>
      </w:r>
      <w:r>
        <w:t xml:space="preserve">: </w:t>
      </w:r>
      <w:r w:rsidRPr="0040441D">
        <w:t>Porovnání nákladů a přínosů</w:t>
      </w:r>
    </w:p>
    <w:p w:rsidR="007B1680" w:rsidRPr="00546E8A" w:rsidRDefault="00301901" w:rsidP="007B1680">
      <w:r>
        <w:rPr>
          <w:noProof/>
          <w:lang w:eastAsia="cs-CZ"/>
        </w:rPr>
        <w:drawing>
          <wp:inline distT="0" distB="0" distL="0" distR="0">
            <wp:extent cx="5760720" cy="5299862"/>
            <wp:effectExtent l="0" t="0" r="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5299862"/>
                    </a:xfrm>
                    <a:prstGeom prst="rect">
                      <a:avLst/>
                    </a:prstGeom>
                    <a:noFill/>
                    <a:ln>
                      <a:noFill/>
                    </a:ln>
                  </pic:spPr>
                </pic:pic>
              </a:graphicData>
            </a:graphic>
          </wp:inline>
        </w:drawing>
      </w:r>
    </w:p>
    <w:p w:rsidR="007B1680" w:rsidRPr="00546E8A" w:rsidRDefault="007B1680" w:rsidP="007B1680">
      <w:pPr>
        <w:pStyle w:val="Nadpis2"/>
      </w:pPr>
      <w:r w:rsidRPr="00546E8A">
        <w:t>Návrh řešení</w:t>
      </w:r>
    </w:p>
    <w:p w:rsidR="007B1680" w:rsidRPr="00546E8A" w:rsidRDefault="007B1680" w:rsidP="007B1680">
      <w:pPr>
        <w:pStyle w:val="Nadpis3"/>
      </w:pPr>
      <w:r w:rsidRPr="00546E8A">
        <w:t>Stanovení pořadí variant a výběr nejvhodnějšího řešení</w:t>
      </w:r>
    </w:p>
    <w:p w:rsidR="007B1680" w:rsidRDefault="007B1680" w:rsidP="007B1680">
      <w:pPr>
        <w:pStyle w:val="Odstavecseseznamem"/>
        <w:numPr>
          <w:ilvl w:val="0"/>
          <w:numId w:val="28"/>
        </w:numPr>
        <w:contextualSpacing/>
        <w:rPr>
          <w:b/>
          <w:bCs/>
        </w:rPr>
      </w:pPr>
      <w:r w:rsidRPr="00546E8A">
        <w:rPr>
          <w:b/>
          <w:bCs/>
        </w:rPr>
        <w:t xml:space="preserve">Varianta </w:t>
      </w:r>
      <w:r>
        <w:rPr>
          <w:b/>
          <w:bCs/>
        </w:rPr>
        <w:t>1</w:t>
      </w:r>
    </w:p>
    <w:p w:rsidR="007B1680" w:rsidRDefault="007B1680" w:rsidP="007B1680">
      <w:pPr>
        <w:pStyle w:val="Odstavecseseznamem"/>
        <w:numPr>
          <w:ilvl w:val="0"/>
          <w:numId w:val="28"/>
        </w:numPr>
        <w:contextualSpacing/>
        <w:rPr>
          <w:bCs/>
        </w:rPr>
      </w:pPr>
      <w:r w:rsidRPr="00A2695E">
        <w:rPr>
          <w:bCs/>
        </w:rPr>
        <w:t>Varianta 0</w:t>
      </w:r>
    </w:p>
    <w:p w:rsidR="007B1680" w:rsidRDefault="007B1680" w:rsidP="007B1680">
      <w:pPr>
        <w:contextualSpacing/>
        <w:rPr>
          <w:bCs/>
        </w:rPr>
      </w:pPr>
      <w:r>
        <w:rPr>
          <w:bCs/>
        </w:rPr>
        <w:t>Doporučujeme přijat Variantu 1 vzhledem k pozitivnímu vlivu na životní prostředí a zdraví lidí.</w:t>
      </w:r>
    </w:p>
    <w:p w:rsidR="007B1680" w:rsidRPr="00EC1DAD" w:rsidRDefault="007B1680" w:rsidP="00667F06"/>
    <w:p w:rsidR="00667F06" w:rsidRPr="00EC1DAD" w:rsidRDefault="00667F06" w:rsidP="00667F06">
      <w:pPr>
        <w:pStyle w:val="Nadpis1"/>
      </w:pPr>
      <w:r w:rsidRPr="00EC1DAD">
        <w:lastRenderedPageBreak/>
        <w:t>Shrnutí - navrhované varianty</w:t>
      </w:r>
    </w:p>
    <w:p w:rsidR="00E420F3" w:rsidRDefault="00301901">
      <w:pPr>
        <w:pStyle w:val="Nadpis1"/>
        <w:numPr>
          <w:ilvl w:val="0"/>
          <w:numId w:val="0"/>
        </w:numPr>
        <w:ind w:left="431"/>
      </w:pPr>
      <w:r>
        <w:rPr>
          <w:noProof/>
          <w:lang w:eastAsia="cs-CZ"/>
        </w:rPr>
        <w:drawing>
          <wp:inline distT="0" distB="0" distL="0" distR="0">
            <wp:extent cx="5760720" cy="7595841"/>
            <wp:effectExtent l="0" t="0" r="0" b="571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720" cy="7595841"/>
                    </a:xfrm>
                    <a:prstGeom prst="rect">
                      <a:avLst/>
                    </a:prstGeom>
                    <a:noFill/>
                    <a:ln>
                      <a:noFill/>
                    </a:ln>
                  </pic:spPr>
                </pic:pic>
              </a:graphicData>
            </a:graphic>
          </wp:inline>
        </w:drawing>
      </w:r>
    </w:p>
    <w:p w:rsidR="004112FC" w:rsidRDefault="004112FC" w:rsidP="004112FC">
      <w:r>
        <w:t xml:space="preserve">Vyhodnocení nákladů a přínosů vychází z dostupných informací a dat. V některých případech však není možné hodnocení provést kvantitativně, ale musí být provedeno kvalitativně prostřednictvím subjektivního hodnocení dopadů pracovníky ministerstva, kteří </w:t>
      </w:r>
      <w:r>
        <w:lastRenderedPageBreak/>
        <w:t>vychází ze zkušeností a dlouholeté praxe v odpadovém hospodářství či provedených konzultací.</w:t>
      </w:r>
    </w:p>
    <w:p w:rsidR="004634F2" w:rsidRPr="00EC1DAD" w:rsidRDefault="004634F2" w:rsidP="008F7031">
      <w:pPr>
        <w:pStyle w:val="Nadpis1"/>
      </w:pPr>
      <w:r w:rsidRPr="00EC1DAD">
        <w:t>Implementace doporučené varianty a vynucování</w:t>
      </w:r>
    </w:p>
    <w:p w:rsidR="007B5A4F" w:rsidRPr="00EC1DAD" w:rsidRDefault="00394E6E" w:rsidP="007B5A4F">
      <w:r w:rsidRPr="00EC1DAD">
        <w:t>Orgánem odpovědným za implementaci navrhované právní úpravy je MŽP, které je ústředním orgánem státní správy a orgánem vrchního dozoru ve věcech životního prostředí. Dalšími orgány veřejné správy, které dohlížejí nad dodržováním povinností, jsou Česká inspekce životního prostředí, obecní úřady obce s rozšířenou působností a krajské úřady. Vynucování příslušných zákonem stanovených povinností prostřednictvím pokut, případně i pomocí opatření ke zjednání nápravy, zajišťují Česká inspekce životního prostředí, obecní úřady obcí s rozšířenou působností a krajské úřady.</w:t>
      </w:r>
    </w:p>
    <w:p w:rsidR="004634F2" w:rsidRPr="00EC1DAD" w:rsidRDefault="004634F2" w:rsidP="008F7031">
      <w:pPr>
        <w:pStyle w:val="Nadpis1"/>
      </w:pPr>
      <w:r w:rsidRPr="00EC1DAD">
        <w:t>Přezkum účinnosti regulace</w:t>
      </w:r>
    </w:p>
    <w:p w:rsidR="00D65DED" w:rsidRPr="00062C2B" w:rsidRDefault="00D65DED" w:rsidP="00D65DED">
      <w:r>
        <w:t>Přezkum účinnosti regulace provede Ministerstvo životního prostředí v rámci zpětné vazby metodické činnosti a to po účinnosti právě připravovaného nového zákona o odpadech, nejpozději však do tří let ode dne účinnosti navrhované právní úpravy.</w:t>
      </w:r>
    </w:p>
    <w:p w:rsidR="004634F2" w:rsidRDefault="004634F2" w:rsidP="008F7031">
      <w:pPr>
        <w:pStyle w:val="Nadpis1"/>
      </w:pPr>
      <w:r w:rsidRPr="00EC1DAD">
        <w:t>Konzultace a zdroje dat</w:t>
      </w:r>
    </w:p>
    <w:p w:rsidR="000860D1" w:rsidRPr="00240B17" w:rsidRDefault="000860D1" w:rsidP="000860D1">
      <w:r>
        <w:t>Data a informace uvedené v RIA vychází z komunikace s osobami s dlouholetou praxí a zkušenostmi v odpadovém hospodářství.</w:t>
      </w:r>
    </w:p>
    <w:p w:rsidR="00E420F3" w:rsidRDefault="000860D1">
      <w:r>
        <w:t>Konzultace probíhají ústní či elektronickou formou a případná zaslaná data jsou ukládána na ministerstvu dle interních předpisů.</w:t>
      </w:r>
    </w:p>
    <w:p w:rsidR="00AC549B" w:rsidRPr="00EC1DAD" w:rsidRDefault="00AC549B" w:rsidP="00AC549B">
      <w:pPr>
        <w:pStyle w:val="Odstavecseseznamem"/>
        <w:numPr>
          <w:ilvl w:val="0"/>
          <w:numId w:val="24"/>
        </w:numPr>
        <w:spacing w:after="0"/>
        <w:ind w:left="284" w:hanging="284"/>
        <w:rPr>
          <w:rFonts w:cs="Arial"/>
        </w:rPr>
      </w:pPr>
      <w:r w:rsidRPr="00EC1DAD">
        <w:rPr>
          <w:rFonts w:cs="Arial"/>
        </w:rPr>
        <w:t>Mgr. et Mgr. Štěpán Jakl, odbor odpadů, Ministerstvo životního prostředí</w:t>
      </w:r>
    </w:p>
    <w:p w:rsidR="00AC549B" w:rsidRPr="00EC1DAD" w:rsidRDefault="00AC549B" w:rsidP="00AC549B">
      <w:pPr>
        <w:pStyle w:val="Odstavecseseznamem"/>
        <w:numPr>
          <w:ilvl w:val="0"/>
          <w:numId w:val="24"/>
        </w:numPr>
        <w:spacing w:after="0"/>
        <w:ind w:left="284" w:hanging="284"/>
        <w:rPr>
          <w:rFonts w:cs="Arial"/>
        </w:rPr>
      </w:pPr>
      <w:r w:rsidRPr="00EC1DAD">
        <w:rPr>
          <w:rFonts w:cs="Arial"/>
        </w:rPr>
        <w:t>Ing. Gabriela Bulková, odbor odpadů, Ministerstvo životního prostředí</w:t>
      </w:r>
    </w:p>
    <w:p w:rsidR="00AC549B" w:rsidRDefault="00AC549B" w:rsidP="00AC549B">
      <w:pPr>
        <w:pStyle w:val="Odstavecseseznamem"/>
        <w:numPr>
          <w:ilvl w:val="0"/>
          <w:numId w:val="24"/>
        </w:numPr>
        <w:spacing w:after="0"/>
        <w:ind w:left="284" w:hanging="284"/>
        <w:rPr>
          <w:rFonts w:cs="Arial"/>
        </w:rPr>
      </w:pPr>
      <w:r w:rsidRPr="00EC1DAD">
        <w:rPr>
          <w:rFonts w:cs="Arial"/>
        </w:rPr>
        <w:t xml:space="preserve">Ing. Gabriela Buda </w:t>
      </w:r>
      <w:proofErr w:type="spellStart"/>
      <w:r w:rsidRPr="00EC1DAD">
        <w:rPr>
          <w:rFonts w:cs="Arial"/>
        </w:rPr>
        <w:t>Šepeľová</w:t>
      </w:r>
      <w:proofErr w:type="spellEnd"/>
      <w:r w:rsidRPr="00EC1DAD">
        <w:rPr>
          <w:rFonts w:cs="Arial"/>
        </w:rPr>
        <w:t xml:space="preserve"> PhD., CENIA</w:t>
      </w:r>
    </w:p>
    <w:p w:rsidR="008C09C3" w:rsidRPr="00EC1DAD" w:rsidRDefault="008C09C3" w:rsidP="00AC549B">
      <w:pPr>
        <w:pStyle w:val="Odstavecseseznamem"/>
        <w:numPr>
          <w:ilvl w:val="0"/>
          <w:numId w:val="24"/>
        </w:numPr>
        <w:spacing w:after="0"/>
        <w:ind w:left="284" w:hanging="284"/>
        <w:rPr>
          <w:rFonts w:cs="Arial"/>
        </w:rPr>
      </w:pPr>
      <w:r>
        <w:rPr>
          <w:rFonts w:cs="Arial"/>
        </w:rPr>
        <w:t>RNDr. Eva Horáková, CENIA</w:t>
      </w:r>
    </w:p>
    <w:p w:rsidR="00AC549B" w:rsidRPr="00EC1DAD" w:rsidRDefault="00AC549B" w:rsidP="00AC549B">
      <w:pPr>
        <w:pStyle w:val="Odstavecseseznamem"/>
        <w:numPr>
          <w:ilvl w:val="0"/>
          <w:numId w:val="24"/>
        </w:numPr>
        <w:spacing w:after="0"/>
        <w:ind w:left="284" w:hanging="284"/>
        <w:rPr>
          <w:rFonts w:cs="Arial"/>
        </w:rPr>
      </w:pPr>
      <w:r w:rsidRPr="00EC1DAD">
        <w:rPr>
          <w:rFonts w:cs="Arial"/>
          <w:i/>
        </w:rPr>
        <w:t xml:space="preserve">Doporučené psaní </w:t>
      </w:r>
      <w:r w:rsidR="006B34F5" w:rsidRPr="00EC1DAD">
        <w:rPr>
          <w:rFonts w:cs="Arial"/>
          <w:lang w:val="fr-CH"/>
        </w:rPr>
        <w:t>[online]</w:t>
      </w:r>
      <w:r w:rsidRPr="00EC1DAD">
        <w:rPr>
          <w:rFonts w:cs="Arial"/>
          <w:i/>
        </w:rPr>
        <w:t xml:space="preserve">. </w:t>
      </w:r>
      <w:r w:rsidRPr="00EC1DAD">
        <w:rPr>
          <w:rFonts w:cs="Arial"/>
        </w:rPr>
        <w:t>2015 [cit 2015-07-28]. Dostupné z: https://www.ceskaposta.cz/sluzby/psani/cr/doporucene-psani</w:t>
      </w:r>
    </w:p>
    <w:p w:rsidR="00AC549B" w:rsidRPr="00EC1DAD" w:rsidRDefault="00AC549B" w:rsidP="00AC549B">
      <w:pPr>
        <w:pStyle w:val="Odstavecseseznamem"/>
        <w:numPr>
          <w:ilvl w:val="0"/>
          <w:numId w:val="24"/>
        </w:numPr>
        <w:spacing w:before="120" w:after="0"/>
        <w:ind w:left="357" w:hanging="357"/>
        <w:contextualSpacing/>
        <w:rPr>
          <w:rFonts w:cs="Arial"/>
        </w:rPr>
      </w:pPr>
      <w:r w:rsidRPr="00EC1DAD">
        <w:rPr>
          <w:rFonts w:cs="Arial"/>
          <w:i/>
          <w:lang w:eastAsia="cs-CZ"/>
        </w:rPr>
        <w:t xml:space="preserve">Metodika stanovení plánovaných </w:t>
      </w:r>
      <w:r w:rsidRPr="00EC1DAD">
        <w:rPr>
          <w:rFonts w:cs="Arial"/>
          <w:i/>
        </w:rPr>
        <w:t>nákladů</w:t>
      </w:r>
      <w:r w:rsidRPr="00EC1DAD">
        <w:rPr>
          <w:rFonts w:cs="Arial"/>
          <w:i/>
          <w:lang w:eastAsia="cs-CZ"/>
        </w:rPr>
        <w:t xml:space="preserve"> na výkon státní správy</w:t>
      </w:r>
      <w:r w:rsidRPr="00EC1DAD">
        <w:rPr>
          <w:rFonts w:cs="Arial"/>
          <w:lang w:eastAsia="cs-CZ"/>
        </w:rPr>
        <w:t>. Praha: Ministerstvo vnitra České republiky, 2007. 17 s.</w:t>
      </w:r>
    </w:p>
    <w:p w:rsidR="00AC549B" w:rsidRPr="00EC1DAD" w:rsidRDefault="00AC549B" w:rsidP="00AC549B">
      <w:pPr>
        <w:pStyle w:val="Odstavecseseznamem"/>
        <w:numPr>
          <w:ilvl w:val="0"/>
          <w:numId w:val="24"/>
        </w:numPr>
        <w:spacing w:before="120" w:after="0"/>
        <w:ind w:left="357" w:hanging="357"/>
        <w:contextualSpacing/>
        <w:rPr>
          <w:rFonts w:cs="Arial"/>
        </w:rPr>
      </w:pPr>
      <w:r w:rsidRPr="00EC1DAD">
        <w:rPr>
          <w:rFonts w:cs="Arial"/>
          <w:i/>
        </w:rPr>
        <w:t xml:space="preserve">Metodika měření a přeměřování administrativní zátěže podnikatelů. </w:t>
      </w:r>
      <w:r w:rsidRPr="00EC1DAD">
        <w:rPr>
          <w:rFonts w:cs="Arial"/>
        </w:rPr>
        <w:t>Praha: Ministerstvo průmyslu a obchodu, červen 2013. 29 s.</w:t>
      </w:r>
    </w:p>
    <w:p w:rsidR="003E281D" w:rsidRPr="00EC1DAD" w:rsidRDefault="003E281D" w:rsidP="00AC549B">
      <w:pPr>
        <w:pStyle w:val="Odstavecseseznamem"/>
        <w:numPr>
          <w:ilvl w:val="0"/>
          <w:numId w:val="24"/>
        </w:numPr>
        <w:spacing w:before="120" w:after="0"/>
        <w:ind w:left="357" w:hanging="357"/>
        <w:contextualSpacing/>
        <w:rPr>
          <w:rFonts w:cs="Arial"/>
        </w:rPr>
      </w:pPr>
      <w:r w:rsidRPr="00EC1DAD">
        <w:rPr>
          <w:rFonts w:cs="Arial"/>
        </w:rPr>
        <w:t xml:space="preserve">Ing. Jarmila </w:t>
      </w:r>
      <w:proofErr w:type="spellStart"/>
      <w:r w:rsidRPr="00EC1DAD">
        <w:rPr>
          <w:rFonts w:cs="Arial"/>
        </w:rPr>
        <w:t>Holešínská</w:t>
      </w:r>
      <w:proofErr w:type="spellEnd"/>
      <w:r w:rsidRPr="00EC1DAD">
        <w:rPr>
          <w:rFonts w:cs="Arial"/>
        </w:rPr>
        <w:t>, Magistrát hlavního města Prahy</w:t>
      </w:r>
    </w:p>
    <w:p w:rsidR="003E281D" w:rsidRPr="00EC1DAD" w:rsidRDefault="003E281D" w:rsidP="00AC549B">
      <w:pPr>
        <w:pStyle w:val="Odstavecseseznamem"/>
        <w:numPr>
          <w:ilvl w:val="0"/>
          <w:numId w:val="24"/>
        </w:numPr>
        <w:spacing w:before="120" w:after="0"/>
        <w:ind w:left="357" w:hanging="357"/>
        <w:contextualSpacing/>
        <w:rPr>
          <w:rFonts w:cs="Arial"/>
        </w:rPr>
      </w:pPr>
      <w:r w:rsidRPr="00EC1DAD">
        <w:rPr>
          <w:rFonts w:cs="Arial"/>
        </w:rPr>
        <w:t>RNDr. Zdeněk Pluháček, Krajský úřad Středočeského kraje</w:t>
      </w:r>
    </w:p>
    <w:p w:rsidR="003E281D" w:rsidRPr="00EC1DAD" w:rsidRDefault="003E281D" w:rsidP="00AC549B">
      <w:pPr>
        <w:pStyle w:val="Odstavecseseznamem"/>
        <w:numPr>
          <w:ilvl w:val="0"/>
          <w:numId w:val="24"/>
        </w:numPr>
        <w:spacing w:before="120" w:after="0"/>
        <w:ind w:left="357" w:hanging="357"/>
        <w:contextualSpacing/>
        <w:rPr>
          <w:rFonts w:cs="Arial"/>
        </w:rPr>
      </w:pPr>
      <w:r w:rsidRPr="00EC1DAD">
        <w:rPr>
          <w:rFonts w:cs="Arial"/>
        </w:rPr>
        <w:t>Ing. Hana Pacáková, Krajský úřad Jihočeského kraje</w:t>
      </w:r>
    </w:p>
    <w:p w:rsidR="003E281D" w:rsidRPr="00EC1DAD" w:rsidRDefault="003E281D" w:rsidP="00AC549B">
      <w:pPr>
        <w:pStyle w:val="Odstavecseseznamem"/>
        <w:numPr>
          <w:ilvl w:val="0"/>
          <w:numId w:val="24"/>
        </w:numPr>
        <w:spacing w:before="120" w:after="0"/>
        <w:ind w:left="357" w:hanging="357"/>
        <w:contextualSpacing/>
        <w:rPr>
          <w:rFonts w:cs="Arial"/>
        </w:rPr>
      </w:pPr>
      <w:r w:rsidRPr="00EC1DAD">
        <w:rPr>
          <w:rFonts w:cs="Arial"/>
        </w:rPr>
        <w:t>Bc. Jitka Kmoníčková, Krajský úřad Plzeňského kraje</w:t>
      </w:r>
    </w:p>
    <w:p w:rsidR="003E281D" w:rsidRPr="00EC1DAD" w:rsidRDefault="003E281D" w:rsidP="00AC549B">
      <w:pPr>
        <w:pStyle w:val="Odstavecseseznamem"/>
        <w:numPr>
          <w:ilvl w:val="0"/>
          <w:numId w:val="24"/>
        </w:numPr>
        <w:spacing w:before="120" w:after="0"/>
        <w:ind w:left="357" w:hanging="357"/>
        <w:contextualSpacing/>
        <w:rPr>
          <w:rFonts w:cs="Arial"/>
        </w:rPr>
      </w:pPr>
      <w:r w:rsidRPr="00EC1DAD">
        <w:rPr>
          <w:rFonts w:cs="Arial"/>
        </w:rPr>
        <w:t>Mgr. Jan Koch, Krajský úřad Ústeckého kraje</w:t>
      </w:r>
    </w:p>
    <w:p w:rsidR="003E281D" w:rsidRPr="00EC1DAD" w:rsidRDefault="003E281D" w:rsidP="00AC549B">
      <w:pPr>
        <w:pStyle w:val="Odstavecseseznamem"/>
        <w:numPr>
          <w:ilvl w:val="0"/>
          <w:numId w:val="24"/>
        </w:numPr>
        <w:spacing w:before="120" w:after="0"/>
        <w:ind w:left="357" w:hanging="357"/>
        <w:contextualSpacing/>
        <w:rPr>
          <w:rFonts w:cs="Arial"/>
        </w:rPr>
      </w:pPr>
      <w:r w:rsidRPr="00EC1DAD">
        <w:rPr>
          <w:rFonts w:cs="Arial"/>
        </w:rPr>
        <w:t>Ing. Zuzana Hellerová, Krajský úřad Libereckého kraje</w:t>
      </w:r>
    </w:p>
    <w:p w:rsidR="003E281D" w:rsidRPr="00EC1DAD" w:rsidRDefault="003E281D" w:rsidP="00AC549B">
      <w:pPr>
        <w:pStyle w:val="Odstavecseseznamem"/>
        <w:numPr>
          <w:ilvl w:val="0"/>
          <w:numId w:val="24"/>
        </w:numPr>
        <w:spacing w:before="120" w:after="0"/>
        <w:ind w:left="357" w:hanging="357"/>
        <w:contextualSpacing/>
        <w:rPr>
          <w:rFonts w:cs="Arial"/>
        </w:rPr>
      </w:pPr>
      <w:r w:rsidRPr="00EC1DAD">
        <w:rPr>
          <w:rFonts w:cs="Arial"/>
        </w:rPr>
        <w:t>Dr. Ing. Richard Veselý, Krajský úřad Královéhradeckého kraje</w:t>
      </w:r>
    </w:p>
    <w:p w:rsidR="003E281D" w:rsidRPr="00EC1DAD" w:rsidRDefault="003E281D" w:rsidP="00AC549B">
      <w:pPr>
        <w:pStyle w:val="Odstavecseseznamem"/>
        <w:numPr>
          <w:ilvl w:val="0"/>
          <w:numId w:val="24"/>
        </w:numPr>
        <w:spacing w:before="120" w:after="0"/>
        <w:ind w:left="357" w:hanging="357"/>
        <w:contextualSpacing/>
        <w:rPr>
          <w:rFonts w:cs="Arial"/>
        </w:rPr>
      </w:pPr>
      <w:r w:rsidRPr="00EC1DAD">
        <w:rPr>
          <w:rFonts w:cs="Arial"/>
        </w:rPr>
        <w:t xml:space="preserve">Ing. Josef </w:t>
      </w:r>
      <w:proofErr w:type="spellStart"/>
      <w:r w:rsidRPr="00EC1DAD">
        <w:rPr>
          <w:rFonts w:cs="Arial"/>
        </w:rPr>
        <w:t>Klečanský</w:t>
      </w:r>
      <w:proofErr w:type="spellEnd"/>
      <w:r w:rsidRPr="00EC1DAD">
        <w:rPr>
          <w:rFonts w:cs="Arial"/>
        </w:rPr>
        <w:t>, Krajský úřad kraje Vysočina</w:t>
      </w:r>
    </w:p>
    <w:p w:rsidR="003E281D" w:rsidRPr="00EC1DAD" w:rsidRDefault="003E281D" w:rsidP="00AC549B">
      <w:pPr>
        <w:pStyle w:val="Odstavecseseznamem"/>
        <w:numPr>
          <w:ilvl w:val="0"/>
          <w:numId w:val="24"/>
        </w:numPr>
        <w:spacing w:before="120" w:after="0"/>
        <w:ind w:left="357" w:hanging="357"/>
        <w:contextualSpacing/>
        <w:rPr>
          <w:rFonts w:cs="Arial"/>
        </w:rPr>
      </w:pPr>
      <w:r w:rsidRPr="00EC1DAD">
        <w:rPr>
          <w:rFonts w:cs="Arial"/>
        </w:rPr>
        <w:t>Ing. Jan Novák, Krajský úřad Jihomoravského kraje</w:t>
      </w:r>
    </w:p>
    <w:p w:rsidR="003E281D" w:rsidRPr="00EC1DAD" w:rsidRDefault="003E281D" w:rsidP="00AC549B">
      <w:pPr>
        <w:pStyle w:val="Odstavecseseznamem"/>
        <w:numPr>
          <w:ilvl w:val="0"/>
          <w:numId w:val="24"/>
        </w:numPr>
        <w:spacing w:before="120" w:after="0"/>
        <w:ind w:left="357" w:hanging="357"/>
        <w:contextualSpacing/>
        <w:rPr>
          <w:rFonts w:cs="Arial"/>
        </w:rPr>
      </w:pPr>
      <w:r w:rsidRPr="00EC1DAD">
        <w:rPr>
          <w:rFonts w:cs="Arial"/>
        </w:rPr>
        <w:t>Mgr. Dan Vojtěch, Krajský úřad Olomouckého kraje</w:t>
      </w:r>
    </w:p>
    <w:p w:rsidR="003E281D" w:rsidRPr="00EC1DAD" w:rsidRDefault="003E281D" w:rsidP="00AC549B">
      <w:pPr>
        <w:pStyle w:val="Odstavecseseznamem"/>
        <w:numPr>
          <w:ilvl w:val="0"/>
          <w:numId w:val="24"/>
        </w:numPr>
        <w:spacing w:before="120" w:after="0"/>
        <w:ind w:left="357" w:hanging="357"/>
        <w:contextualSpacing/>
        <w:rPr>
          <w:rFonts w:cs="Arial"/>
        </w:rPr>
      </w:pPr>
      <w:r w:rsidRPr="00EC1DAD">
        <w:rPr>
          <w:rFonts w:cs="Arial"/>
        </w:rPr>
        <w:t>Mgr. Iveta Rotterová, Krajský úřad Moravskoslezského kraje</w:t>
      </w:r>
    </w:p>
    <w:p w:rsidR="00A85137" w:rsidRPr="00EC1DAD" w:rsidRDefault="00A85137" w:rsidP="004C297B">
      <w:pPr>
        <w:spacing w:before="120"/>
      </w:pPr>
      <w:r w:rsidRPr="00EC1DAD">
        <w:lastRenderedPageBreak/>
        <w:t>V rámci zpracování hodnocení dopadů kapitoly nového vymezení odpadů - kovové odpady byla oslovena společnost Kovohutě Příbram, M+M Metal servi</w:t>
      </w:r>
      <w:r w:rsidR="003E281D" w:rsidRPr="00EC1DAD">
        <w:t xml:space="preserve">s s.r.o. a Kovošrot Group a.s. se žádostí o sdělení odhadu případného navýšení administrativní zátěže, </w:t>
      </w:r>
      <w:r w:rsidRPr="00EC1DAD">
        <w:t xml:space="preserve">bohužel však ministerstvo ani od jedné </w:t>
      </w:r>
      <w:r w:rsidR="00E41118" w:rsidRPr="00EC1DAD">
        <w:t>z</w:t>
      </w:r>
      <w:r w:rsidR="003E281D" w:rsidRPr="00EC1DAD">
        <w:t> </w:t>
      </w:r>
      <w:r w:rsidR="00E41118" w:rsidRPr="00EC1DAD">
        <w:t>uvedených</w:t>
      </w:r>
      <w:r w:rsidR="003E281D" w:rsidRPr="00EC1DAD">
        <w:t xml:space="preserve"> společností</w:t>
      </w:r>
      <w:r w:rsidR="00E41118" w:rsidRPr="00EC1DAD">
        <w:t xml:space="preserve"> </w:t>
      </w:r>
      <w:r w:rsidRPr="00EC1DAD">
        <w:t>neobdrželo žádné informace.</w:t>
      </w:r>
    </w:p>
    <w:p w:rsidR="00A85137" w:rsidRDefault="00A85137" w:rsidP="00A85137">
      <w:r w:rsidRPr="00EC1DAD">
        <w:t xml:space="preserve">Pro hodnocení dopadů na krajské úřady u kapitoly týkající se přidělování IČZ byly osloveny všechny krajské úřady a Asociace krajů </w:t>
      </w:r>
      <w:r w:rsidR="00E41118" w:rsidRPr="00EC1DAD">
        <w:t xml:space="preserve">ČR. Z </w:t>
      </w:r>
      <w:r w:rsidRPr="00EC1DAD">
        <w:t xml:space="preserve">oslovených </w:t>
      </w:r>
      <w:r w:rsidR="00E41118" w:rsidRPr="00EC1DAD">
        <w:t xml:space="preserve">subjektů </w:t>
      </w:r>
      <w:r w:rsidRPr="00EC1DAD">
        <w:t>informace zaslaly kraje Středočeský, Jihočeský, Plzeňský, Ústecký, Liberecký, Královéhradecký, Vysočina, Jihomoravs</w:t>
      </w:r>
      <w:r w:rsidR="006C51AC" w:rsidRPr="00EC1DAD">
        <w:t>ký, Olomoucký, Moravskoslezský.</w:t>
      </w:r>
    </w:p>
    <w:p w:rsidR="00A30017" w:rsidRPr="00EC1DAD" w:rsidRDefault="00A30017" w:rsidP="00A85137">
      <w:r>
        <w:t>Předložený materiál byl upraven na základě připomínek z mezirezortního připomínkového řízení, které proběhlo v termínu 7. - 29. 10. 2015 a připomínky uplatnilo Ministerstvo financí (akceptováno - materiál upraven či doplněn o požadované), Jihomoravský kraj (</w:t>
      </w:r>
      <w:r w:rsidR="00EB3D57">
        <w:t xml:space="preserve">akceptováno - materiál upraven) a Úřad vlády - ministr pro lidská </w:t>
      </w:r>
      <w:r w:rsidR="0052374B">
        <w:t>p</w:t>
      </w:r>
      <w:r w:rsidR="00EB3D57">
        <w:t>ráva, rovné příležitosti a legislativu (vysvětleno či akceptováno částečně - materiál v některých bodech doplněn a upřesněn).</w:t>
      </w:r>
    </w:p>
    <w:p w:rsidR="004F475B" w:rsidRPr="00EC1DAD" w:rsidRDefault="004F475B" w:rsidP="004F475B">
      <w:pPr>
        <w:pStyle w:val="Nadpis1"/>
      </w:pPr>
      <w:r w:rsidRPr="00EC1DAD">
        <w:t>Seznam použitých zkratek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6945"/>
      </w:tblGrid>
      <w:tr w:rsidR="00AC549B" w:rsidRPr="00EC1DAD" w:rsidTr="00AC549B">
        <w:trPr>
          <w:trHeight w:val="397"/>
        </w:trPr>
        <w:tc>
          <w:tcPr>
            <w:tcW w:w="2235" w:type="dxa"/>
            <w:vAlign w:val="center"/>
            <w:hideMark/>
          </w:tcPr>
          <w:p w:rsidR="00AC549B" w:rsidRPr="00EC1DAD" w:rsidRDefault="00AC549B" w:rsidP="00AC549B">
            <w:pPr>
              <w:spacing w:after="0"/>
              <w:jc w:val="left"/>
              <w:rPr>
                <w:rFonts w:cs="Arial"/>
              </w:rPr>
            </w:pPr>
            <w:r w:rsidRPr="00EC1DAD">
              <w:rPr>
                <w:rFonts w:cs="Arial"/>
                <w:szCs w:val="22"/>
              </w:rPr>
              <w:t>AZ</w:t>
            </w:r>
          </w:p>
        </w:tc>
        <w:tc>
          <w:tcPr>
            <w:tcW w:w="6945" w:type="dxa"/>
            <w:vAlign w:val="center"/>
            <w:hideMark/>
          </w:tcPr>
          <w:p w:rsidR="00AC549B" w:rsidRPr="00EC1DAD" w:rsidRDefault="00AC549B" w:rsidP="00AC549B">
            <w:pPr>
              <w:spacing w:after="0"/>
              <w:jc w:val="left"/>
              <w:rPr>
                <w:rFonts w:cs="Arial"/>
              </w:rPr>
            </w:pPr>
            <w:r w:rsidRPr="00EC1DAD">
              <w:rPr>
                <w:rFonts w:cs="Arial"/>
                <w:szCs w:val="22"/>
              </w:rPr>
              <w:t>administrativní zátěž</w:t>
            </w:r>
          </w:p>
        </w:tc>
      </w:tr>
      <w:tr w:rsidR="00AC549B" w:rsidRPr="00EC1DAD" w:rsidTr="00AC549B">
        <w:trPr>
          <w:trHeight w:val="397"/>
        </w:trPr>
        <w:tc>
          <w:tcPr>
            <w:tcW w:w="2235" w:type="dxa"/>
            <w:vAlign w:val="center"/>
            <w:hideMark/>
          </w:tcPr>
          <w:p w:rsidR="00AC549B" w:rsidRPr="00EC1DAD" w:rsidRDefault="00AC549B" w:rsidP="00AC549B">
            <w:pPr>
              <w:spacing w:after="0"/>
              <w:jc w:val="left"/>
              <w:rPr>
                <w:rFonts w:cs="Arial"/>
              </w:rPr>
            </w:pPr>
            <w:r w:rsidRPr="00EC1DAD">
              <w:rPr>
                <w:rFonts w:cs="Arial"/>
                <w:szCs w:val="22"/>
              </w:rPr>
              <w:t>CENIA</w:t>
            </w:r>
          </w:p>
        </w:tc>
        <w:tc>
          <w:tcPr>
            <w:tcW w:w="6945" w:type="dxa"/>
            <w:vAlign w:val="center"/>
            <w:hideMark/>
          </w:tcPr>
          <w:p w:rsidR="00AC549B" w:rsidRPr="00EC1DAD" w:rsidRDefault="00AC549B" w:rsidP="00AC549B">
            <w:pPr>
              <w:spacing w:after="0"/>
              <w:jc w:val="left"/>
              <w:rPr>
                <w:rFonts w:cs="Arial"/>
              </w:rPr>
            </w:pPr>
            <w:r w:rsidRPr="00EC1DAD">
              <w:rPr>
                <w:rFonts w:cs="Arial"/>
                <w:szCs w:val="22"/>
              </w:rPr>
              <w:t>CENIA, česká informační agentura životního prostředí</w:t>
            </w:r>
          </w:p>
        </w:tc>
      </w:tr>
      <w:tr w:rsidR="00AC549B" w:rsidRPr="00EC1DAD" w:rsidTr="00AC549B">
        <w:trPr>
          <w:trHeight w:val="397"/>
        </w:trPr>
        <w:tc>
          <w:tcPr>
            <w:tcW w:w="2235" w:type="dxa"/>
            <w:vAlign w:val="center"/>
            <w:hideMark/>
          </w:tcPr>
          <w:p w:rsidR="00AC549B" w:rsidRPr="00EC1DAD" w:rsidRDefault="00AC549B" w:rsidP="00AC549B">
            <w:pPr>
              <w:spacing w:after="0"/>
              <w:jc w:val="left"/>
              <w:rPr>
                <w:rFonts w:cs="Arial"/>
              </w:rPr>
            </w:pPr>
            <w:r w:rsidRPr="00EC1DAD">
              <w:rPr>
                <w:rFonts w:cs="Arial"/>
                <w:szCs w:val="22"/>
              </w:rPr>
              <w:t>ČIŽP</w:t>
            </w:r>
          </w:p>
        </w:tc>
        <w:tc>
          <w:tcPr>
            <w:tcW w:w="6945" w:type="dxa"/>
            <w:vAlign w:val="center"/>
            <w:hideMark/>
          </w:tcPr>
          <w:p w:rsidR="00AC549B" w:rsidRPr="00EC1DAD" w:rsidRDefault="00AC549B" w:rsidP="00AC549B">
            <w:pPr>
              <w:spacing w:after="0"/>
              <w:jc w:val="left"/>
              <w:rPr>
                <w:rFonts w:cs="Arial"/>
              </w:rPr>
            </w:pPr>
            <w:r w:rsidRPr="00EC1DAD">
              <w:rPr>
                <w:rFonts w:cs="Arial"/>
                <w:szCs w:val="22"/>
              </w:rPr>
              <w:t>Česká inspekce životního prostředí</w:t>
            </w:r>
          </w:p>
        </w:tc>
      </w:tr>
      <w:tr w:rsidR="00E41118" w:rsidRPr="00EC1DAD" w:rsidTr="00AC549B">
        <w:trPr>
          <w:trHeight w:val="397"/>
        </w:trPr>
        <w:tc>
          <w:tcPr>
            <w:tcW w:w="2235" w:type="dxa"/>
            <w:vAlign w:val="center"/>
          </w:tcPr>
          <w:p w:rsidR="00E41118" w:rsidRPr="00EC1DAD" w:rsidRDefault="00E41118" w:rsidP="00AC549B">
            <w:pPr>
              <w:spacing w:after="0"/>
              <w:jc w:val="left"/>
              <w:rPr>
                <w:rFonts w:cs="Arial"/>
                <w:szCs w:val="22"/>
              </w:rPr>
            </w:pPr>
            <w:r w:rsidRPr="00EC1DAD">
              <w:rPr>
                <w:rFonts w:cs="Arial"/>
                <w:szCs w:val="22"/>
              </w:rPr>
              <w:t>IČZ</w:t>
            </w:r>
          </w:p>
        </w:tc>
        <w:tc>
          <w:tcPr>
            <w:tcW w:w="6945" w:type="dxa"/>
            <w:vAlign w:val="center"/>
          </w:tcPr>
          <w:p w:rsidR="00E41118" w:rsidRPr="00EC1DAD" w:rsidRDefault="00E41118" w:rsidP="00AC549B">
            <w:pPr>
              <w:spacing w:after="0"/>
              <w:jc w:val="left"/>
              <w:rPr>
                <w:rFonts w:cs="Arial"/>
                <w:szCs w:val="22"/>
              </w:rPr>
            </w:pPr>
            <w:r w:rsidRPr="00EC1DAD">
              <w:rPr>
                <w:rFonts w:cs="Arial"/>
                <w:szCs w:val="22"/>
              </w:rPr>
              <w:t>identifikační číslo zařízení</w:t>
            </w:r>
          </w:p>
        </w:tc>
      </w:tr>
      <w:tr w:rsidR="00AC549B" w:rsidRPr="00EC1DAD" w:rsidTr="00AC549B">
        <w:trPr>
          <w:trHeight w:val="397"/>
        </w:trPr>
        <w:tc>
          <w:tcPr>
            <w:tcW w:w="2235" w:type="dxa"/>
            <w:vAlign w:val="center"/>
            <w:hideMark/>
          </w:tcPr>
          <w:p w:rsidR="00AC549B" w:rsidRPr="00EC1DAD" w:rsidRDefault="00AC549B" w:rsidP="00AC549B">
            <w:pPr>
              <w:spacing w:after="0"/>
              <w:jc w:val="left"/>
              <w:rPr>
                <w:rFonts w:cs="Arial"/>
              </w:rPr>
            </w:pPr>
            <w:r w:rsidRPr="00EC1DAD">
              <w:rPr>
                <w:rFonts w:cs="Arial"/>
                <w:szCs w:val="22"/>
              </w:rPr>
              <w:t>ISPOP</w:t>
            </w:r>
          </w:p>
        </w:tc>
        <w:tc>
          <w:tcPr>
            <w:tcW w:w="6945" w:type="dxa"/>
            <w:vAlign w:val="center"/>
            <w:hideMark/>
          </w:tcPr>
          <w:p w:rsidR="00AC549B" w:rsidRPr="00EC1DAD" w:rsidRDefault="00AC549B" w:rsidP="00AC549B">
            <w:pPr>
              <w:spacing w:after="0"/>
              <w:jc w:val="left"/>
              <w:rPr>
                <w:rFonts w:cs="Arial"/>
              </w:rPr>
            </w:pPr>
            <w:r w:rsidRPr="00EC1DAD">
              <w:rPr>
                <w:rFonts w:cs="Arial"/>
                <w:szCs w:val="22"/>
              </w:rPr>
              <w:t>Integrovaný systém plnění ohlašovacích povinností</w:t>
            </w:r>
          </w:p>
        </w:tc>
      </w:tr>
      <w:tr w:rsidR="00CC01E3" w:rsidRPr="00EC1DAD" w:rsidTr="00AC549B">
        <w:trPr>
          <w:trHeight w:val="397"/>
        </w:trPr>
        <w:tc>
          <w:tcPr>
            <w:tcW w:w="2235" w:type="dxa"/>
            <w:vAlign w:val="center"/>
          </w:tcPr>
          <w:p w:rsidR="00CC01E3" w:rsidRPr="00EC1DAD" w:rsidRDefault="00CC01E3" w:rsidP="00AC549B">
            <w:pPr>
              <w:spacing w:after="0"/>
              <w:jc w:val="left"/>
              <w:rPr>
                <w:rFonts w:cs="Arial"/>
                <w:szCs w:val="22"/>
              </w:rPr>
            </w:pPr>
            <w:r>
              <w:rPr>
                <w:rFonts w:cs="Arial"/>
                <w:szCs w:val="22"/>
              </w:rPr>
              <w:t>KÚ</w:t>
            </w:r>
          </w:p>
        </w:tc>
        <w:tc>
          <w:tcPr>
            <w:tcW w:w="6945" w:type="dxa"/>
            <w:vAlign w:val="center"/>
          </w:tcPr>
          <w:p w:rsidR="00CC01E3" w:rsidRPr="00EC1DAD" w:rsidRDefault="00CC01E3" w:rsidP="00AC549B">
            <w:pPr>
              <w:spacing w:after="0"/>
              <w:jc w:val="left"/>
              <w:rPr>
                <w:rFonts w:cs="Arial"/>
                <w:szCs w:val="22"/>
              </w:rPr>
            </w:pPr>
            <w:r>
              <w:rPr>
                <w:rFonts w:cs="Arial"/>
                <w:szCs w:val="22"/>
              </w:rPr>
              <w:t>krajský úřad</w:t>
            </w:r>
          </w:p>
        </w:tc>
      </w:tr>
      <w:tr w:rsidR="00AC549B" w:rsidRPr="00EC1DAD" w:rsidTr="00AC549B">
        <w:trPr>
          <w:trHeight w:val="397"/>
        </w:trPr>
        <w:tc>
          <w:tcPr>
            <w:tcW w:w="2235" w:type="dxa"/>
            <w:vAlign w:val="center"/>
            <w:hideMark/>
          </w:tcPr>
          <w:p w:rsidR="00AC549B" w:rsidRPr="00EC1DAD" w:rsidRDefault="00AC549B" w:rsidP="00AC549B">
            <w:pPr>
              <w:spacing w:after="0"/>
              <w:jc w:val="left"/>
              <w:rPr>
                <w:rFonts w:cs="Arial"/>
              </w:rPr>
            </w:pPr>
            <w:r w:rsidRPr="00EC1DAD">
              <w:rPr>
                <w:rFonts w:cs="Arial"/>
                <w:szCs w:val="22"/>
              </w:rPr>
              <w:t>Metodika MPO</w:t>
            </w:r>
          </w:p>
        </w:tc>
        <w:tc>
          <w:tcPr>
            <w:tcW w:w="6945" w:type="dxa"/>
            <w:vAlign w:val="center"/>
            <w:hideMark/>
          </w:tcPr>
          <w:p w:rsidR="00AC549B" w:rsidRPr="00EC1DAD" w:rsidRDefault="00AC549B" w:rsidP="00AC549B">
            <w:pPr>
              <w:spacing w:after="0"/>
              <w:jc w:val="left"/>
              <w:rPr>
                <w:rFonts w:cs="Arial"/>
              </w:rPr>
            </w:pPr>
            <w:r w:rsidRPr="00EC1DAD">
              <w:rPr>
                <w:rFonts w:cs="Arial"/>
                <w:szCs w:val="22"/>
              </w:rPr>
              <w:t>Metodika měření a přeměřování administrativní zátěže podnikatelů</w:t>
            </w:r>
          </w:p>
        </w:tc>
      </w:tr>
      <w:tr w:rsidR="00AC549B" w:rsidRPr="00EC1DAD" w:rsidTr="00AC549B">
        <w:trPr>
          <w:trHeight w:val="397"/>
        </w:trPr>
        <w:tc>
          <w:tcPr>
            <w:tcW w:w="2235" w:type="dxa"/>
            <w:vAlign w:val="center"/>
            <w:hideMark/>
          </w:tcPr>
          <w:p w:rsidR="00AC549B" w:rsidRPr="00EC1DAD" w:rsidRDefault="00AC549B" w:rsidP="00AC549B">
            <w:pPr>
              <w:spacing w:after="0"/>
              <w:jc w:val="left"/>
              <w:rPr>
                <w:rFonts w:cs="Arial"/>
              </w:rPr>
            </w:pPr>
            <w:r w:rsidRPr="00EC1DAD">
              <w:rPr>
                <w:rFonts w:cs="Arial"/>
                <w:szCs w:val="22"/>
              </w:rPr>
              <w:t>Metodika MV</w:t>
            </w:r>
          </w:p>
        </w:tc>
        <w:tc>
          <w:tcPr>
            <w:tcW w:w="6945" w:type="dxa"/>
            <w:vAlign w:val="center"/>
            <w:hideMark/>
          </w:tcPr>
          <w:p w:rsidR="00AC549B" w:rsidRPr="00EC1DAD" w:rsidRDefault="00AC549B" w:rsidP="00AC549B">
            <w:pPr>
              <w:spacing w:after="0"/>
              <w:jc w:val="left"/>
              <w:rPr>
                <w:rFonts w:cs="Arial"/>
              </w:rPr>
            </w:pPr>
            <w:r w:rsidRPr="00EC1DAD">
              <w:rPr>
                <w:rFonts w:cs="Arial"/>
                <w:szCs w:val="22"/>
              </w:rPr>
              <w:t>Metodika stanovení plánovaných nákladů na výkon státní správy</w:t>
            </w:r>
          </w:p>
        </w:tc>
      </w:tr>
      <w:tr w:rsidR="00AC549B" w:rsidRPr="00EC1DAD" w:rsidTr="00AC549B">
        <w:trPr>
          <w:trHeight w:val="397"/>
        </w:trPr>
        <w:tc>
          <w:tcPr>
            <w:tcW w:w="2235" w:type="dxa"/>
            <w:vAlign w:val="center"/>
            <w:hideMark/>
          </w:tcPr>
          <w:p w:rsidR="00AC549B" w:rsidRPr="00EC1DAD" w:rsidRDefault="00AC549B" w:rsidP="00AC549B">
            <w:pPr>
              <w:spacing w:after="0"/>
              <w:jc w:val="left"/>
              <w:rPr>
                <w:rFonts w:cs="Arial"/>
              </w:rPr>
            </w:pPr>
            <w:r w:rsidRPr="00EC1DAD">
              <w:rPr>
                <w:rFonts w:cs="Arial"/>
                <w:szCs w:val="22"/>
              </w:rPr>
              <w:t>MŽP</w:t>
            </w:r>
            <w:r w:rsidR="00CC01E3">
              <w:rPr>
                <w:rFonts w:cs="Arial"/>
                <w:szCs w:val="22"/>
              </w:rPr>
              <w:t>, ministerstvo</w:t>
            </w:r>
          </w:p>
        </w:tc>
        <w:tc>
          <w:tcPr>
            <w:tcW w:w="6945" w:type="dxa"/>
            <w:vAlign w:val="center"/>
            <w:hideMark/>
          </w:tcPr>
          <w:p w:rsidR="00AC549B" w:rsidRPr="00EC1DAD" w:rsidRDefault="00AC549B" w:rsidP="00AC549B">
            <w:pPr>
              <w:spacing w:after="0"/>
              <w:jc w:val="left"/>
              <w:rPr>
                <w:rFonts w:cs="Arial"/>
              </w:rPr>
            </w:pPr>
            <w:r w:rsidRPr="00EC1DAD">
              <w:rPr>
                <w:rFonts w:cs="Arial"/>
                <w:szCs w:val="22"/>
              </w:rPr>
              <w:t>Ministerstvo životního prostředí</w:t>
            </w:r>
          </w:p>
        </w:tc>
      </w:tr>
      <w:tr w:rsidR="00CC01E3" w:rsidRPr="00EC1DAD" w:rsidTr="00AC549B">
        <w:trPr>
          <w:trHeight w:val="397"/>
        </w:trPr>
        <w:tc>
          <w:tcPr>
            <w:tcW w:w="2235" w:type="dxa"/>
            <w:vAlign w:val="center"/>
          </w:tcPr>
          <w:p w:rsidR="00CC01E3" w:rsidRPr="00EC1DAD" w:rsidRDefault="00CC01E3" w:rsidP="00AC549B">
            <w:pPr>
              <w:spacing w:after="0"/>
              <w:jc w:val="left"/>
              <w:rPr>
                <w:rFonts w:cs="Arial"/>
                <w:szCs w:val="22"/>
              </w:rPr>
            </w:pPr>
            <w:r>
              <w:rPr>
                <w:rFonts w:cs="Arial"/>
                <w:szCs w:val="22"/>
              </w:rPr>
              <w:t>PČR</w:t>
            </w:r>
          </w:p>
        </w:tc>
        <w:tc>
          <w:tcPr>
            <w:tcW w:w="6945" w:type="dxa"/>
            <w:vAlign w:val="center"/>
          </w:tcPr>
          <w:p w:rsidR="00CC01E3" w:rsidRPr="00EC1DAD" w:rsidRDefault="00CC01E3" w:rsidP="00AC549B">
            <w:pPr>
              <w:spacing w:after="0"/>
              <w:jc w:val="left"/>
              <w:rPr>
                <w:rFonts w:cs="Arial"/>
                <w:szCs w:val="22"/>
              </w:rPr>
            </w:pPr>
            <w:r>
              <w:rPr>
                <w:rFonts w:cs="Arial"/>
                <w:szCs w:val="22"/>
              </w:rPr>
              <w:t>Policie České republiky</w:t>
            </w:r>
          </w:p>
        </w:tc>
      </w:tr>
      <w:tr w:rsidR="00AC549B" w:rsidRPr="00EC1DAD" w:rsidTr="00AC549B">
        <w:trPr>
          <w:trHeight w:val="397"/>
        </w:trPr>
        <w:tc>
          <w:tcPr>
            <w:tcW w:w="2235" w:type="dxa"/>
            <w:vAlign w:val="center"/>
            <w:hideMark/>
          </w:tcPr>
          <w:p w:rsidR="00AC549B" w:rsidRPr="00EC1DAD" w:rsidRDefault="00AC549B" w:rsidP="00AC549B">
            <w:pPr>
              <w:spacing w:after="0"/>
              <w:jc w:val="left"/>
              <w:rPr>
                <w:rFonts w:cs="Arial"/>
              </w:rPr>
            </w:pPr>
            <w:r w:rsidRPr="00EC1DAD">
              <w:rPr>
                <w:rFonts w:cs="Arial"/>
                <w:szCs w:val="22"/>
              </w:rPr>
              <w:t>ÚSC</w:t>
            </w:r>
          </w:p>
        </w:tc>
        <w:tc>
          <w:tcPr>
            <w:tcW w:w="6945" w:type="dxa"/>
            <w:vAlign w:val="center"/>
            <w:hideMark/>
          </w:tcPr>
          <w:p w:rsidR="00AC549B" w:rsidRPr="00EC1DAD" w:rsidRDefault="00AC549B" w:rsidP="00AC549B">
            <w:pPr>
              <w:spacing w:after="0"/>
              <w:jc w:val="left"/>
              <w:rPr>
                <w:rFonts w:cs="Arial"/>
              </w:rPr>
            </w:pPr>
            <w:r w:rsidRPr="00EC1DAD">
              <w:rPr>
                <w:rFonts w:cs="Arial"/>
                <w:szCs w:val="22"/>
              </w:rPr>
              <w:t>územní samosprávné celky (obce, kraje)</w:t>
            </w:r>
          </w:p>
        </w:tc>
      </w:tr>
    </w:tbl>
    <w:p w:rsidR="00F87881" w:rsidRPr="00EC1DAD" w:rsidRDefault="00F87881" w:rsidP="00F87881">
      <w:pPr>
        <w:pStyle w:val="Nadpis1"/>
      </w:pPr>
      <w:r w:rsidRPr="00EC1DAD">
        <w:lastRenderedPageBreak/>
        <w:t>Kontakt na zpracovatele RIA</w:t>
      </w:r>
    </w:p>
    <w:p w:rsidR="00F87881" w:rsidRPr="00EC1DAD" w:rsidRDefault="00863C45" w:rsidP="00D94AC5">
      <w:pPr>
        <w:keepNext/>
        <w:contextualSpacing/>
      </w:pPr>
      <w:r w:rsidRPr="00EC1DAD">
        <w:t xml:space="preserve">Ing. </w:t>
      </w:r>
      <w:r w:rsidR="006A3F6A" w:rsidRPr="00EC1DAD">
        <w:t>Martina Píšková</w:t>
      </w:r>
    </w:p>
    <w:p w:rsidR="00F87881" w:rsidRPr="00EC1DAD" w:rsidRDefault="00F87881" w:rsidP="00D94AC5">
      <w:pPr>
        <w:keepNext/>
        <w:contextualSpacing/>
      </w:pPr>
      <w:r w:rsidRPr="00EC1DAD">
        <w:t>Odbor ekonomi</w:t>
      </w:r>
      <w:r w:rsidR="00024566" w:rsidRPr="00EC1DAD">
        <w:t>ky životního prostředí</w:t>
      </w:r>
    </w:p>
    <w:p w:rsidR="00F87881" w:rsidRPr="00EC1DAD" w:rsidRDefault="00F87881" w:rsidP="00D94AC5">
      <w:pPr>
        <w:keepNext/>
        <w:contextualSpacing/>
      </w:pPr>
      <w:r w:rsidRPr="00EC1DAD">
        <w:t>Ministerstvo životního prostředí</w:t>
      </w:r>
    </w:p>
    <w:p w:rsidR="00F87881" w:rsidRPr="00EC1DAD" w:rsidRDefault="00F87881" w:rsidP="00D94AC5">
      <w:pPr>
        <w:keepNext/>
        <w:contextualSpacing/>
      </w:pPr>
      <w:r w:rsidRPr="00EC1DAD">
        <w:t>Vršovická 65, Praha 10, 100 10</w:t>
      </w:r>
    </w:p>
    <w:p w:rsidR="00F87881" w:rsidRPr="00EC1DAD" w:rsidRDefault="00F87881" w:rsidP="00D94AC5">
      <w:pPr>
        <w:keepNext/>
        <w:contextualSpacing/>
      </w:pPr>
      <w:r w:rsidRPr="00EC1DAD">
        <w:t xml:space="preserve">email: </w:t>
      </w:r>
      <w:r w:rsidR="006A3F6A" w:rsidRPr="00EC1DAD">
        <w:t>martina.piskova</w:t>
      </w:r>
      <w:r w:rsidRPr="00EC1DAD">
        <w:t>@mzp.cz</w:t>
      </w:r>
    </w:p>
    <w:p w:rsidR="00F87881" w:rsidRDefault="00F87881" w:rsidP="006C2720">
      <w:pPr>
        <w:keepNext/>
        <w:tabs>
          <w:tab w:val="left" w:pos="2760"/>
        </w:tabs>
        <w:contextualSpacing/>
      </w:pPr>
      <w:r w:rsidRPr="00EC1DAD">
        <w:t>tel: +420 267 122</w:t>
      </w:r>
      <w:r w:rsidR="00293C5D">
        <w:t> </w:t>
      </w:r>
      <w:r w:rsidR="006A3F6A" w:rsidRPr="00EC1DAD">
        <w:t>151</w:t>
      </w:r>
    </w:p>
    <w:p w:rsidR="00293C5D" w:rsidRDefault="00293C5D" w:rsidP="006C2720">
      <w:pPr>
        <w:keepNext/>
        <w:tabs>
          <w:tab w:val="left" w:pos="2760"/>
        </w:tabs>
        <w:contextualSpacing/>
      </w:pPr>
    </w:p>
    <w:p w:rsidR="00293C5D" w:rsidRPr="00EC1DAD" w:rsidRDefault="00293C5D" w:rsidP="00293C5D">
      <w:pPr>
        <w:keepNext/>
        <w:contextualSpacing/>
      </w:pPr>
      <w:proofErr w:type="spellStart"/>
      <w:r>
        <w:t>Alica</w:t>
      </w:r>
      <w:proofErr w:type="spellEnd"/>
      <w:r>
        <w:t xml:space="preserve"> Tóthová</w:t>
      </w:r>
    </w:p>
    <w:p w:rsidR="00293C5D" w:rsidRPr="00EC1DAD" w:rsidRDefault="00293C5D" w:rsidP="00293C5D">
      <w:pPr>
        <w:keepNext/>
        <w:contextualSpacing/>
      </w:pPr>
      <w:r w:rsidRPr="00EC1DAD">
        <w:t>Odbor ekonomiky životního prostředí</w:t>
      </w:r>
    </w:p>
    <w:p w:rsidR="00293C5D" w:rsidRPr="00EC1DAD" w:rsidRDefault="00293C5D" w:rsidP="00293C5D">
      <w:pPr>
        <w:keepNext/>
        <w:contextualSpacing/>
      </w:pPr>
      <w:r w:rsidRPr="00EC1DAD">
        <w:t>Ministerstvo životního prostředí</w:t>
      </w:r>
    </w:p>
    <w:p w:rsidR="00293C5D" w:rsidRPr="00EC1DAD" w:rsidRDefault="00293C5D" w:rsidP="00293C5D">
      <w:pPr>
        <w:keepNext/>
        <w:contextualSpacing/>
      </w:pPr>
      <w:r w:rsidRPr="00EC1DAD">
        <w:t>Vršovická 65, Praha 10, 100 10</w:t>
      </w:r>
    </w:p>
    <w:p w:rsidR="00293C5D" w:rsidRPr="00EC1DAD" w:rsidRDefault="00293C5D" w:rsidP="00293C5D">
      <w:pPr>
        <w:keepNext/>
        <w:contextualSpacing/>
      </w:pPr>
      <w:r w:rsidRPr="00EC1DAD">
        <w:t xml:space="preserve">email: </w:t>
      </w:r>
      <w:r>
        <w:t>alica</w:t>
      </w:r>
      <w:r w:rsidRPr="00EC1DAD">
        <w:t>.</w:t>
      </w:r>
      <w:r>
        <w:t>tothov</w:t>
      </w:r>
      <w:r w:rsidRPr="00EC1DAD">
        <w:t>a@mzp.cz</w:t>
      </w:r>
    </w:p>
    <w:p w:rsidR="00293C5D" w:rsidRPr="00EC1DAD" w:rsidRDefault="00293C5D" w:rsidP="00293C5D">
      <w:pPr>
        <w:keepNext/>
        <w:tabs>
          <w:tab w:val="left" w:pos="2760"/>
        </w:tabs>
        <w:contextualSpacing/>
      </w:pPr>
      <w:r w:rsidRPr="00EC1DAD">
        <w:t>tel: +420 267 122</w:t>
      </w:r>
      <w:r>
        <w:t> 642</w:t>
      </w:r>
    </w:p>
    <w:p w:rsidR="00293C5D" w:rsidRPr="00EC1DAD" w:rsidRDefault="00293C5D" w:rsidP="006C2720">
      <w:pPr>
        <w:keepNext/>
        <w:tabs>
          <w:tab w:val="left" w:pos="2760"/>
        </w:tabs>
        <w:contextualSpacing/>
      </w:pPr>
    </w:p>
    <w:p w:rsidR="00047353" w:rsidRPr="00EC1DAD" w:rsidRDefault="00047353" w:rsidP="007754C0">
      <w:pPr>
        <w:pStyle w:val="Podtitul"/>
      </w:pPr>
      <w:r w:rsidRPr="00EC1DAD">
        <w:t>Zhodnocení současného stavu a dopadů navrhovaného řešení ve vztahu k zákazu diskriminace</w:t>
      </w:r>
    </w:p>
    <w:p w:rsidR="0099392C" w:rsidRPr="00EC1DAD" w:rsidRDefault="00FB31C5" w:rsidP="0099392C">
      <w:r w:rsidRPr="00EC1DAD">
        <w:t>Navrhovaná právní úprava nemá žádné dopady ve vztahu k zákazu diskriminace, včetně rovného postavení mužů a žen.</w:t>
      </w:r>
    </w:p>
    <w:p w:rsidR="00047353" w:rsidRPr="00EC1DAD" w:rsidRDefault="00047353" w:rsidP="00FF1718">
      <w:pPr>
        <w:pStyle w:val="Podtitul"/>
      </w:pPr>
      <w:r w:rsidRPr="00EC1DAD">
        <w:lastRenderedPageBreak/>
        <w:t>Zhodnocení dopadů navrhovaného řešení ve vztahu k ochraně soukromí a</w:t>
      </w:r>
      <w:r w:rsidR="004E63B0" w:rsidRPr="00EC1DAD">
        <w:t> </w:t>
      </w:r>
      <w:r w:rsidRPr="00EC1DAD">
        <w:t>osobních údajů</w:t>
      </w:r>
    </w:p>
    <w:p w:rsidR="000D549F" w:rsidRPr="000D549F" w:rsidRDefault="000D549F" w:rsidP="000D549F">
      <w:pPr>
        <w:pStyle w:val="Podtitul"/>
        <w:numPr>
          <w:ilvl w:val="0"/>
          <w:numId w:val="0"/>
        </w:numPr>
        <w:ind w:left="357"/>
        <w:rPr>
          <w:rFonts w:cs="Arial"/>
          <w:b w:val="0"/>
          <w:szCs w:val="22"/>
        </w:rPr>
      </w:pPr>
      <w:r w:rsidRPr="000D549F">
        <w:rPr>
          <w:rFonts w:cs="Arial"/>
          <w:b w:val="0"/>
          <w:szCs w:val="22"/>
        </w:rPr>
        <w:t>Navrhovaná právní úprava nemá žádné dopady ve vztahu k zákazu diskriminace, včetně rovného postavení mužů a žen.</w:t>
      </w:r>
    </w:p>
    <w:p w:rsidR="000D549F" w:rsidRPr="000D549F" w:rsidRDefault="000D549F" w:rsidP="000D549F">
      <w:pPr>
        <w:pStyle w:val="Podtitul"/>
        <w:numPr>
          <w:ilvl w:val="0"/>
          <w:numId w:val="0"/>
        </w:numPr>
        <w:ind w:left="357"/>
        <w:rPr>
          <w:rFonts w:cs="Arial"/>
          <w:b w:val="0"/>
          <w:szCs w:val="22"/>
        </w:rPr>
      </w:pPr>
      <w:r w:rsidRPr="000D549F">
        <w:rPr>
          <w:rFonts w:cs="Arial"/>
          <w:b w:val="0"/>
          <w:szCs w:val="22"/>
        </w:rPr>
        <w:t>Pokud jde o ochranu soukromí a osobních údajů, návrh vyhlášky předpokládá shromažďování osobních údajů ministerstvem, krajskými úřady a obecními úřady obcí s rozšířenou působností při přijímání a zpracování žádostí o vydání souhlasu k</w:t>
      </w:r>
      <w:r w:rsidR="00A34F9B">
        <w:rPr>
          <w:rFonts w:cs="Arial"/>
          <w:b w:val="0"/>
          <w:szCs w:val="22"/>
        </w:rPr>
        <w:t> </w:t>
      </w:r>
      <w:r w:rsidRPr="000D549F">
        <w:rPr>
          <w:rFonts w:cs="Arial"/>
          <w:b w:val="0"/>
          <w:szCs w:val="22"/>
        </w:rPr>
        <w:t>provozování zařízení k využívání, odstraňování, sběru nebo výkupu odpadů (dále jen „zařízení“), žádostí o vydání souhlasu k nakládání s nebezpečnými odpady a při přijímání hlášení o odpadech a zařízeních. Dále návrh vyhlášky rozšiřuje seznam odpadů, při jejichž odběru nebo výkupu je provozovatel zařízení povinen identifikovat osoby, které dané odpady předávají. Shromažďovány a zpracovávány jsou zejména tyto osobní údaje: jméno, popřípadě jména, příjmení, obchodní firma, adresa místa trvalého pobytu, adresa sídla, identifikační číslo osoby, kontaktní údaje (e-mailová adresa, telefon). Účel zpracování uvedených osobních údajů je především identifikační, evidenční a kontrolní.</w:t>
      </w:r>
    </w:p>
    <w:p w:rsidR="000D549F" w:rsidRPr="000D549F" w:rsidRDefault="000D549F" w:rsidP="000D549F">
      <w:pPr>
        <w:pStyle w:val="Podtitul"/>
        <w:numPr>
          <w:ilvl w:val="0"/>
          <w:numId w:val="0"/>
        </w:numPr>
        <w:ind w:left="357"/>
        <w:rPr>
          <w:rFonts w:cs="Arial"/>
          <w:b w:val="0"/>
          <w:szCs w:val="22"/>
        </w:rPr>
      </w:pPr>
      <w:r w:rsidRPr="000D549F">
        <w:rPr>
          <w:rFonts w:cs="Arial"/>
          <w:b w:val="0"/>
          <w:szCs w:val="22"/>
        </w:rPr>
        <w:t>V rámci úpravy náležitostí žádostí o vydání souhlasu byl údaj bydliště a místo podnikání nahrazen údajem o sídle. Tímto byl zajištěn soulad se zákonem č. 89/2012 Sb., občanský zákoník, ve znění pozdějších předpisů, a současně byl odstraněn požadavek na nadbytečný údaj o bydlišti. O souhlas k provozování zařízení totiž může zažádat pouze právnická osoba nebo fyzická osoba oprávněná k podnikání. Dle zákona č.</w:t>
      </w:r>
      <w:r w:rsidR="00A34F9B">
        <w:rPr>
          <w:rFonts w:cs="Arial"/>
          <w:b w:val="0"/>
          <w:szCs w:val="22"/>
        </w:rPr>
        <w:t> </w:t>
      </w:r>
      <w:r w:rsidRPr="000D549F">
        <w:rPr>
          <w:rFonts w:cs="Arial"/>
          <w:b w:val="0"/>
          <w:szCs w:val="22"/>
        </w:rPr>
        <w:t>89/2012 Sb., občanský zákoník, ve znění pozdějších předpisů, je v obou případech identifikačním znakem jejich sídlo. Údaje obsažené v žádosti o vydání souhlasu k</w:t>
      </w:r>
      <w:r w:rsidR="00A34F9B">
        <w:rPr>
          <w:rFonts w:cs="Arial"/>
          <w:b w:val="0"/>
          <w:szCs w:val="22"/>
        </w:rPr>
        <w:t> </w:t>
      </w:r>
      <w:r w:rsidRPr="000D549F">
        <w:rPr>
          <w:rFonts w:cs="Arial"/>
          <w:b w:val="0"/>
          <w:szCs w:val="22"/>
        </w:rPr>
        <w:t>provozování zařízení slouží k vedení řízení o této žádosti a k vydání souhlasu.</w:t>
      </w:r>
    </w:p>
    <w:p w:rsidR="000D549F" w:rsidRPr="000D549F" w:rsidRDefault="000D549F" w:rsidP="000D549F">
      <w:pPr>
        <w:pStyle w:val="Podtitul"/>
        <w:numPr>
          <w:ilvl w:val="0"/>
          <w:numId w:val="0"/>
        </w:numPr>
        <w:ind w:left="357"/>
        <w:rPr>
          <w:rFonts w:cs="Arial"/>
          <w:b w:val="0"/>
          <w:szCs w:val="22"/>
        </w:rPr>
      </w:pPr>
      <w:r w:rsidRPr="000D549F">
        <w:rPr>
          <w:rFonts w:cs="Arial"/>
          <w:b w:val="0"/>
          <w:szCs w:val="22"/>
        </w:rPr>
        <w:t>Změna úpravy povinnosti zasílat hlášení o odpadech a zařízeních spočívá zejména ve změně náležitostí formulářů sloužících k podávání hlášení. U dotčených formulářů upravených v přílohách č. 20, 22, 25, 26 a 27 však nedošlo k rozšíření požadovaných osobních údajů, ale spíše údajů vztahujících se k provozovnám. Údaje obsažené v</w:t>
      </w:r>
      <w:r w:rsidR="00A34F9B">
        <w:rPr>
          <w:rFonts w:cs="Arial"/>
          <w:b w:val="0"/>
          <w:szCs w:val="22"/>
        </w:rPr>
        <w:t> </w:t>
      </w:r>
      <w:r w:rsidRPr="000D549F">
        <w:rPr>
          <w:rFonts w:cs="Arial"/>
          <w:b w:val="0"/>
          <w:szCs w:val="22"/>
        </w:rPr>
        <w:t>ročních hlášeních o produkci a nakládání s odpady jsou nezbytné pro účely evidence a</w:t>
      </w:r>
      <w:r w:rsidR="00A34F9B">
        <w:rPr>
          <w:rFonts w:cs="Arial"/>
          <w:b w:val="0"/>
          <w:szCs w:val="22"/>
        </w:rPr>
        <w:t> </w:t>
      </w:r>
      <w:r w:rsidRPr="000D549F">
        <w:rPr>
          <w:rFonts w:cs="Arial"/>
          <w:b w:val="0"/>
          <w:szCs w:val="22"/>
        </w:rPr>
        <w:t xml:space="preserve">kontroly plnění zákonem stanovených povinností. V § 39 odst. 13 zákona č. 185/2001 Sb., o odpadech a o změně některých dalších zákonů, ve znění pozdějších předpisů (dále jen „zákon“), je stanoveno, že informace o jednotlivých osobách obsažené v hlášeních se poskytují pouze orgánům veřejné správy a pro potřeby řešení mimořádných událostí dle zvláštních právních předpisů. </w:t>
      </w:r>
    </w:p>
    <w:p w:rsidR="000D549F" w:rsidRPr="000D549F" w:rsidRDefault="000D549F" w:rsidP="000D549F">
      <w:pPr>
        <w:pStyle w:val="Podtitul"/>
        <w:numPr>
          <w:ilvl w:val="0"/>
          <w:numId w:val="0"/>
        </w:numPr>
        <w:ind w:left="357"/>
        <w:rPr>
          <w:rFonts w:cs="Arial"/>
          <w:b w:val="0"/>
          <w:szCs w:val="22"/>
        </w:rPr>
      </w:pPr>
      <w:r w:rsidRPr="000D549F">
        <w:rPr>
          <w:rFonts w:cs="Arial"/>
          <w:b w:val="0"/>
          <w:szCs w:val="22"/>
        </w:rPr>
        <w:t xml:space="preserve">Návrh vyhlášky rozšiřuje seznam kovových odpadů, u kterých je zavedena povinnost provozovatele zařízení identifikovat osoby předávající odpad, nedochází však k rozšíření seznamu osobních údajů, které je provozovatel zařízení povinen zjistit při identifikaci fyzických osob. Účelem zpřísnění právní úpravy je zamezit kriminální činnosti spojené s výkupem a odběrem kovového odpadu, což přinese pozitivní dopady na státní rozpočet, územní samosprávné celky a veřejnost. </w:t>
      </w:r>
    </w:p>
    <w:p w:rsidR="00FF1718" w:rsidRPr="00EC1DAD" w:rsidRDefault="00FF1718" w:rsidP="00FF1718">
      <w:pPr>
        <w:pStyle w:val="Podtitul"/>
      </w:pPr>
      <w:r w:rsidRPr="00EC1DAD">
        <w:t>Zhodnocení korupčních rizik</w:t>
      </w:r>
    </w:p>
    <w:p w:rsidR="00863C45" w:rsidRPr="00EC1DAD" w:rsidRDefault="00597DFE" w:rsidP="00863C45">
      <w:r w:rsidRPr="00EC1DAD">
        <w:rPr>
          <w:rFonts w:cs="Arial"/>
          <w:szCs w:val="22"/>
        </w:rPr>
        <w:t xml:space="preserve">Navrhovaná právní úprava novelizuje prováděcí vyhlášku k zákonu o odpadech. Nejsou upravovány žádné rozhodovací postupy orgánů státní správy, ani není poskytován žádný </w:t>
      </w:r>
      <w:r w:rsidRPr="00EC1DAD">
        <w:rPr>
          <w:rFonts w:cs="Arial"/>
          <w:szCs w:val="22"/>
        </w:rPr>
        <w:lastRenderedPageBreak/>
        <w:t>prostor pro správní uvážení. Na základě uvedené skutečnosti lze konstatovat, že s navrhovanou právní úpravou nejsou spojena žádná korupční rizika.</w:t>
      </w:r>
    </w:p>
    <w:p w:rsidR="00FF1718" w:rsidRPr="00EC1DAD" w:rsidRDefault="006B7EC0" w:rsidP="00FF1718">
      <w:pPr>
        <w:pStyle w:val="Nzev"/>
      </w:pPr>
      <w:r w:rsidRPr="00EC1DAD">
        <w:t>ZVLÁŠTNÍ ČÁST</w:t>
      </w:r>
    </w:p>
    <w:p w:rsidR="00597DFE" w:rsidRPr="00EC1DAD" w:rsidRDefault="00D179D8" w:rsidP="00597DFE">
      <w:pPr>
        <w:pStyle w:val="Normlntun"/>
      </w:pPr>
      <w:r w:rsidRPr="00EC1DAD">
        <w:t>K bodu 1</w:t>
      </w:r>
    </w:p>
    <w:p w:rsidR="00597DFE" w:rsidRPr="00EC1DAD" w:rsidRDefault="00597DFE" w:rsidP="00597DFE">
      <w:r w:rsidRPr="00EC1DAD">
        <w:t>V tomto případě se jedná o přizpůsobení vyhlášky novému občanskému zákoníku.</w:t>
      </w:r>
    </w:p>
    <w:p w:rsidR="00597DFE" w:rsidRPr="00EC1DAD" w:rsidRDefault="00597DFE" w:rsidP="00597DFE">
      <w:pPr>
        <w:pStyle w:val="Normlntun"/>
      </w:pPr>
      <w:r w:rsidRPr="00EC1DAD">
        <w:t>K bodu 2</w:t>
      </w:r>
    </w:p>
    <w:p w:rsidR="00597DFE" w:rsidRDefault="00597DFE" w:rsidP="00597DFE">
      <w:r w:rsidRPr="00EC1DAD">
        <w:t>Požadavek na vymezení provozoven nebyl nejvhodnější, protože provozovna je pojem, který přichází do úvahy u původce odpadů, a v tomto případě se žádá o souhlas s provozem zařízení. Každé zařízení je provozovna. V úvahu přichází provozování více zařízení v jedné provozovně, nikoliv jednoho zařízení ve více provozovnách.</w:t>
      </w:r>
    </w:p>
    <w:p w:rsidR="000D549F" w:rsidRDefault="000D549F" w:rsidP="000D549F">
      <w:pPr>
        <w:pStyle w:val="Normlntun"/>
      </w:pPr>
      <w:r w:rsidRPr="00EC1DAD">
        <w:t>K bodu 3</w:t>
      </w:r>
    </w:p>
    <w:p w:rsidR="000D549F" w:rsidRPr="00EC1DAD" w:rsidRDefault="00671848" w:rsidP="00597DFE">
      <w:r>
        <w:t xml:space="preserve">Zavádí se pro jednoznačnou identifikaci způsobu nakládání s odpady v zařízení. </w:t>
      </w:r>
    </w:p>
    <w:p w:rsidR="00597DFE" w:rsidRPr="00EC1DAD" w:rsidRDefault="00597DFE" w:rsidP="00597DFE">
      <w:pPr>
        <w:pStyle w:val="Normlntun"/>
      </w:pPr>
      <w:r w:rsidRPr="00EC1DAD">
        <w:t xml:space="preserve">K bodu </w:t>
      </w:r>
      <w:r w:rsidR="000D549F">
        <w:t>4</w:t>
      </w:r>
    </w:p>
    <w:p w:rsidR="00597DFE" w:rsidRPr="00EC1DAD" w:rsidRDefault="00597DFE" w:rsidP="00597DFE">
      <w:r w:rsidRPr="00EC1DAD">
        <w:t>Dosavadní právní úprava je nejednoznačná například ve vztahu k odpadům, které v zařízení vznikají. Zároveň je úprava přizpůsobena tomu, že ze zařízení mohou vystupovat výrobky z</w:t>
      </w:r>
      <w:r w:rsidR="00D179D8" w:rsidRPr="00EC1DAD">
        <w:t> </w:t>
      </w:r>
      <w:r w:rsidRPr="00EC1DAD">
        <w:t>odpadů, přičemž souhlas s provozem zařízení mu</w:t>
      </w:r>
      <w:r w:rsidR="00D179D8" w:rsidRPr="00EC1DAD">
        <w:t>sí tuto skutečnost reflektovat.</w:t>
      </w:r>
    </w:p>
    <w:p w:rsidR="00597DFE" w:rsidRPr="00EC1DAD" w:rsidRDefault="00597DFE" w:rsidP="00597DFE">
      <w:pPr>
        <w:pStyle w:val="Normlntun"/>
      </w:pPr>
      <w:r w:rsidRPr="00EC1DAD">
        <w:t xml:space="preserve">K bodu </w:t>
      </w:r>
      <w:r w:rsidR="000D549F">
        <w:t>5</w:t>
      </w:r>
    </w:p>
    <w:p w:rsidR="00597DFE" w:rsidRPr="00EC1DAD" w:rsidRDefault="00597DFE" w:rsidP="00597DFE">
      <w:r w:rsidRPr="00EC1DAD">
        <w:t>Vymezení toho, jaká činnost bude v zařízení probíhat. Ve vztahu k těmto činnostem musí být souhlas s provozem zařízení konkrétní, proto již žádost musí takový údaj obsahovat. Požadavek na vymezení kapacity zařízení vyplývá z čl. 23 odst. 1 písm. a) rámcové směrnice o odpadech, přičemž tento požadavek nebyl doposud v českém právu proveden.</w:t>
      </w:r>
    </w:p>
    <w:p w:rsidR="00597DFE" w:rsidRPr="00EC1DAD" w:rsidRDefault="00597DFE" w:rsidP="00597DFE">
      <w:pPr>
        <w:pStyle w:val="Normlntun"/>
      </w:pPr>
      <w:r w:rsidRPr="00EC1DAD">
        <w:t xml:space="preserve">K bodům 6 a </w:t>
      </w:r>
      <w:r w:rsidR="00E72418">
        <w:t>11</w:t>
      </w:r>
    </w:p>
    <w:p w:rsidR="00597DFE" w:rsidRDefault="00597DFE" w:rsidP="00597DFE">
      <w:r w:rsidRPr="00EC1DAD">
        <w:t>S ohledem na zavedení používání identifikačních čísel zařízení se zavádí požadavek na využívání tohoto čísla pro označení zařízení.</w:t>
      </w:r>
    </w:p>
    <w:p w:rsidR="000D549F" w:rsidRPr="00EC1DAD" w:rsidRDefault="003E0186" w:rsidP="00597DFE">
      <w:r>
        <w:t xml:space="preserve">Text dosavadního písmene m) byl přeformulován v novém písmeni p) tak, aby byl jednoznačný. </w:t>
      </w:r>
    </w:p>
    <w:p w:rsidR="00597DFE" w:rsidRPr="00EC1DAD" w:rsidRDefault="00597DFE" w:rsidP="00597DFE">
      <w:pPr>
        <w:pStyle w:val="Normlntun"/>
      </w:pPr>
      <w:r w:rsidRPr="00EC1DAD">
        <w:t>K bodu 7</w:t>
      </w:r>
      <w:r w:rsidR="000D549F">
        <w:t xml:space="preserve"> a 1</w:t>
      </w:r>
      <w:r w:rsidR="000C02AF">
        <w:t>0</w:t>
      </w:r>
    </w:p>
    <w:p w:rsidR="00E72418" w:rsidRDefault="00597DFE" w:rsidP="00597DFE">
      <w:r w:rsidRPr="00EC1DAD">
        <w:t xml:space="preserve">Přizpůsobení procesu vydávání souhlasu s provozem zařízení současnému stavu informační techniky tak, aby mohl krajský úřad i další orgány státní správy včetně MŽP a České inspekce životního prostředí s provozním řádem pracovat </w:t>
      </w:r>
      <w:r w:rsidR="00223442">
        <w:t>v </w:t>
      </w:r>
      <w:r w:rsidR="000D549F">
        <w:t xml:space="preserve">listinné </w:t>
      </w:r>
      <w:r w:rsidR="00223442">
        <w:t>i</w:t>
      </w:r>
      <w:r w:rsidRPr="00EC1DAD">
        <w:t xml:space="preserve"> elektronické podobě. </w:t>
      </w:r>
      <w:r w:rsidR="000D549F">
        <w:t xml:space="preserve">V odůvodněných případech bude možné upustit od elektronické podoby některých podkladů. </w:t>
      </w:r>
    </w:p>
    <w:p w:rsidR="00597DFE" w:rsidRPr="00EC1DAD" w:rsidRDefault="00597DFE" w:rsidP="00597DFE">
      <w:r w:rsidRPr="00EC1DAD">
        <w:t>S ohledem na obsah zvláštních právních předpisů je nezbytné odkaz rozšířit o odkaz na vyhlášku č. 352/2005 Sb., o podrobnostech nakládání s elektrozařízeními a elektroodpady a</w:t>
      </w:r>
      <w:r w:rsidR="00D179D8" w:rsidRPr="00EC1DAD">
        <w:t> </w:t>
      </w:r>
      <w:r w:rsidRPr="00EC1DAD">
        <w:t>o bližších podmínkách financování nakládání s nimi (vyhláška o nakládání s</w:t>
      </w:r>
      <w:r w:rsidR="00D179D8" w:rsidRPr="00EC1DAD">
        <w:t> </w:t>
      </w:r>
      <w:r w:rsidRPr="00EC1DAD">
        <w:t>elektrozařízeními a elektroodpady)</w:t>
      </w:r>
      <w:r w:rsidR="000D549F">
        <w:t xml:space="preserve">, vyhlášku </w:t>
      </w:r>
      <w:r w:rsidR="000D549F" w:rsidRPr="00614DD9">
        <w:rPr>
          <w:rFonts w:cs="Arial"/>
        </w:rPr>
        <w:t>č. 352/2005 Sb., o podrobnostech nakládání s elektrozařízeními a elektroodpady a o bližších podmínkách financování nakládání s nimi (o</w:t>
      </w:r>
      <w:r w:rsidR="00A34F9B">
        <w:rPr>
          <w:rFonts w:cs="Arial"/>
        </w:rPr>
        <w:t> </w:t>
      </w:r>
      <w:r w:rsidR="000D549F" w:rsidRPr="00614DD9">
        <w:rPr>
          <w:rFonts w:cs="Arial"/>
        </w:rPr>
        <w:t>nakládání s ele</w:t>
      </w:r>
      <w:r w:rsidR="000D549F">
        <w:rPr>
          <w:rFonts w:cs="Arial"/>
        </w:rPr>
        <w:t xml:space="preserve">ktrozařízeními a elektroodpady) a vyhlášku </w:t>
      </w:r>
      <w:r w:rsidR="000D549F" w:rsidRPr="00614DD9">
        <w:rPr>
          <w:rFonts w:cs="Arial"/>
        </w:rPr>
        <w:t xml:space="preserve">č. 341/2008 Sb., </w:t>
      </w:r>
      <w:r w:rsidR="000D549F" w:rsidRPr="00614DD9">
        <w:rPr>
          <w:rFonts w:cs="Arial"/>
        </w:rPr>
        <w:lastRenderedPageBreak/>
        <w:t>o</w:t>
      </w:r>
      <w:r w:rsidR="00A34F9B">
        <w:rPr>
          <w:rFonts w:cs="Arial"/>
        </w:rPr>
        <w:t> </w:t>
      </w:r>
      <w:r w:rsidR="000D549F" w:rsidRPr="00614DD9">
        <w:rPr>
          <w:rFonts w:cs="Arial"/>
        </w:rPr>
        <w:t>podrobnostech nakládání s biologicky rozložitelnými odpady a o změně vyhlášky č.</w:t>
      </w:r>
      <w:r w:rsidR="00A34F9B">
        <w:rPr>
          <w:rFonts w:cs="Arial"/>
        </w:rPr>
        <w:t> </w:t>
      </w:r>
      <w:r w:rsidR="000D549F" w:rsidRPr="00614DD9">
        <w:rPr>
          <w:rFonts w:cs="Arial"/>
        </w:rPr>
        <w:t>293/2005 Sb., o podmínkách ukládání odpadů na skládky a jejich využívání na povrchu terénu a změně vyhlášky č. 383/2001 Sb., o podrobnostech nakládání s odpady, (o</w:t>
      </w:r>
      <w:r w:rsidR="00A34F9B">
        <w:rPr>
          <w:rFonts w:cs="Arial"/>
        </w:rPr>
        <w:t> </w:t>
      </w:r>
      <w:r w:rsidR="000D549F" w:rsidRPr="00614DD9">
        <w:rPr>
          <w:rFonts w:cs="Arial"/>
        </w:rPr>
        <w:t>podrobnostech nakládání s biologicky rozložitelnými odpady).</w:t>
      </w:r>
    </w:p>
    <w:p w:rsidR="00597DFE" w:rsidRDefault="000D549F" w:rsidP="00597DFE">
      <w:r>
        <w:t xml:space="preserve">Doplnění opatření pro ukončení provozu zařízení reflektuje </w:t>
      </w:r>
      <w:r w:rsidR="00597DFE" w:rsidRPr="00EC1DAD">
        <w:t>požadavek čl. 23 odst. 1 písm. f) rámcové směrnice o odpadech. Evropská komise namítala absenci obdobného ustanovení v</w:t>
      </w:r>
      <w:r w:rsidR="00A34F9B">
        <w:t> </w:t>
      </w:r>
      <w:r w:rsidR="00597DFE" w:rsidRPr="00EC1DAD">
        <w:t>§ 1 ve své výzvě k porušení Smlouvy č.</w:t>
      </w:r>
      <w:r w:rsidR="00D179D8" w:rsidRPr="00EC1DAD">
        <w:t> </w:t>
      </w:r>
      <w:r w:rsidR="00597DFE" w:rsidRPr="00EC1DAD">
        <w:t xml:space="preserve">2014/2057. </w:t>
      </w:r>
    </w:p>
    <w:p w:rsidR="000D549F" w:rsidRPr="00EC1DAD" w:rsidRDefault="000D549F" w:rsidP="00597DFE">
      <w:r>
        <w:t xml:space="preserve">Vyjádření orgánu </w:t>
      </w:r>
      <w:r w:rsidRPr="0087495F">
        <w:rPr>
          <w:szCs w:val="22"/>
        </w:rPr>
        <w:t>ochrany veřejného zdraví</w:t>
      </w:r>
      <w:r>
        <w:rPr>
          <w:szCs w:val="22"/>
        </w:rPr>
        <w:t xml:space="preserve">, tedy </w:t>
      </w:r>
      <w:r w:rsidRPr="0087495F">
        <w:rPr>
          <w:szCs w:val="22"/>
        </w:rPr>
        <w:t>Krajské hygienické stanice</w:t>
      </w:r>
      <w:r>
        <w:rPr>
          <w:szCs w:val="22"/>
        </w:rPr>
        <w:t xml:space="preserve">, mohou stanovovat </w:t>
      </w:r>
      <w:r w:rsidRPr="0087495F">
        <w:rPr>
          <w:szCs w:val="22"/>
        </w:rPr>
        <w:t>podmínky pro provoz zařízení či k doplnění provozního řádu a je tedy vhodné, aby byly krajským úřadům k dispozici již v rámci podané žádosti</w:t>
      </w:r>
    </w:p>
    <w:p w:rsidR="00597DFE" w:rsidRPr="00EC1DAD" w:rsidRDefault="00D179D8" w:rsidP="00597DFE">
      <w:pPr>
        <w:pStyle w:val="Normlntun"/>
      </w:pPr>
      <w:r w:rsidRPr="00EC1DAD">
        <w:t xml:space="preserve">K bodu </w:t>
      </w:r>
      <w:r w:rsidR="000C02AF">
        <w:t>8</w:t>
      </w:r>
    </w:p>
    <w:p w:rsidR="00597DFE" w:rsidRPr="00EC1DAD" w:rsidRDefault="00597DFE" w:rsidP="00597DFE">
      <w:r w:rsidRPr="00EC1DAD">
        <w:t>Upřesňuje se požadavek na uvedení kapacity skládky tak, aby bylo zřejmé, jaký údaj je požadován. Doplňuje se požadavek na předložení celé projektové dokumentace skládky odpadů.</w:t>
      </w:r>
    </w:p>
    <w:p w:rsidR="00597DFE" w:rsidRPr="00EC1DAD" w:rsidRDefault="00D179D8" w:rsidP="00597DFE">
      <w:pPr>
        <w:pStyle w:val="Normlntun"/>
      </w:pPr>
      <w:r w:rsidRPr="00EC1DAD">
        <w:t xml:space="preserve">K bodům </w:t>
      </w:r>
      <w:r w:rsidR="000C02AF">
        <w:t>9</w:t>
      </w:r>
    </w:p>
    <w:p w:rsidR="00597DFE" w:rsidRPr="00EC1DAD" w:rsidRDefault="00597DFE" w:rsidP="00597DFE">
      <w:r w:rsidRPr="00EC1DAD">
        <w:t xml:space="preserve">Vzhledem k tomu, že se nově </w:t>
      </w:r>
      <w:r w:rsidR="00223442">
        <w:t xml:space="preserve">u skládek </w:t>
      </w:r>
      <w:r w:rsidRPr="00EC1DAD">
        <w:t>přikládá celá projektová dokumentace, umožňuje se neuvádět v žádosti informace, které jsou obsažené v projektové dokumentaci.</w:t>
      </w:r>
    </w:p>
    <w:p w:rsidR="00597DFE" w:rsidRPr="00EC1DAD" w:rsidRDefault="00D179D8" w:rsidP="00597DFE">
      <w:pPr>
        <w:pStyle w:val="Normlntun"/>
      </w:pPr>
      <w:r w:rsidRPr="00EC1DAD">
        <w:t xml:space="preserve">K bodu </w:t>
      </w:r>
      <w:r w:rsidR="000C02AF">
        <w:t>12</w:t>
      </w:r>
    </w:p>
    <w:p w:rsidR="00597DFE" w:rsidRPr="00EC1DAD" w:rsidRDefault="00597DFE" w:rsidP="00597DFE">
      <w:r w:rsidRPr="00EC1DAD">
        <w:t>Jedná se o určení povinností dodavatele odpadu, který nemusí nutně být vlastníkem odp</w:t>
      </w:r>
      <w:r w:rsidR="00D179D8" w:rsidRPr="00EC1DAD">
        <w:t>adu, který do zařízení předává.</w:t>
      </w:r>
    </w:p>
    <w:p w:rsidR="00597DFE" w:rsidRPr="00EC1DAD" w:rsidRDefault="00597DFE" w:rsidP="00597DFE">
      <w:pPr>
        <w:pStyle w:val="Normlntun"/>
      </w:pPr>
      <w:r w:rsidRPr="00EC1DAD">
        <w:t xml:space="preserve">K bodu </w:t>
      </w:r>
      <w:r w:rsidR="000C02AF">
        <w:t>13</w:t>
      </w:r>
    </w:p>
    <w:p w:rsidR="000D549F" w:rsidRPr="00EC1DAD" w:rsidRDefault="000D549F" w:rsidP="000D549F">
      <w:r>
        <w:t xml:space="preserve">Dochází ke sjednocení úpravy označování shromažďovacího prostředku, který bude označován v souladu s </w:t>
      </w:r>
      <w:r w:rsidRPr="0087495F">
        <w:rPr>
          <w:rFonts w:cs="Arial"/>
          <w:szCs w:val="22"/>
        </w:rPr>
        <w:t>§ 26 a přílohou č. 29</w:t>
      </w:r>
      <w:r>
        <w:rPr>
          <w:rFonts w:cs="Arial"/>
          <w:szCs w:val="22"/>
        </w:rPr>
        <w:t xml:space="preserve"> vyhlášky. </w:t>
      </w:r>
      <w:r>
        <w:t xml:space="preserve"> Z důvodů</w:t>
      </w:r>
      <w:r w:rsidRPr="0087495F">
        <w:rPr>
          <w:rFonts w:cs="Arial"/>
          <w:szCs w:val="22"/>
        </w:rPr>
        <w:t xml:space="preserve"> ochrany veřejného zdraví je </w:t>
      </w:r>
      <w:r w:rsidR="001A605C">
        <w:rPr>
          <w:rFonts w:cs="Arial"/>
          <w:szCs w:val="22"/>
        </w:rPr>
        <w:t xml:space="preserve">možno uvést </w:t>
      </w:r>
      <w:r w:rsidRPr="0087495F">
        <w:rPr>
          <w:rFonts w:cs="Arial"/>
          <w:szCs w:val="22"/>
        </w:rPr>
        <w:t>jednoznačnou identifikaci osoby odpovědné za obsluhu a údržbu shromažďovacího prostředku.</w:t>
      </w:r>
    </w:p>
    <w:p w:rsidR="00597DFE" w:rsidRPr="00EC1DAD" w:rsidRDefault="00597DFE" w:rsidP="00597DFE">
      <w:pPr>
        <w:pStyle w:val="Normlntun"/>
      </w:pPr>
      <w:r w:rsidRPr="00EC1DAD">
        <w:t xml:space="preserve">K bodům </w:t>
      </w:r>
      <w:r w:rsidR="000C02AF">
        <w:t xml:space="preserve">14 a </w:t>
      </w:r>
      <w:r w:rsidR="000D549F">
        <w:t xml:space="preserve">15 </w:t>
      </w:r>
    </w:p>
    <w:p w:rsidR="000D549F" w:rsidRPr="00EC1DAD" w:rsidRDefault="000D549F" w:rsidP="000D549F">
      <w:r>
        <w:t xml:space="preserve">Pro nakládání s nebezpečnými odpady se obdobně použije příloha č. I část 2 až 5 </w:t>
      </w:r>
      <w:r w:rsidRPr="00EC1DAD">
        <w:t xml:space="preserve">Nařízení </w:t>
      </w:r>
      <w:r>
        <w:t>Evropského parlamentu a Rady</w:t>
      </w:r>
      <w:r w:rsidRPr="00EC1DAD">
        <w:t xml:space="preserve"> (</w:t>
      </w:r>
      <w:r>
        <w:t>ES</w:t>
      </w:r>
      <w:r w:rsidRPr="00EC1DAD">
        <w:t xml:space="preserve">) č. </w:t>
      </w:r>
      <w:r>
        <w:t>1272</w:t>
      </w:r>
      <w:r w:rsidRPr="00EC1DAD">
        <w:t>/</w:t>
      </w:r>
      <w:r>
        <w:t>2008</w:t>
      </w:r>
      <w:r w:rsidRPr="00EC1DAD">
        <w:t xml:space="preserve"> ze dne 1</w:t>
      </w:r>
      <w:r>
        <w:t>6</w:t>
      </w:r>
      <w:r w:rsidRPr="00EC1DAD">
        <w:t>. prosince 20</w:t>
      </w:r>
      <w:r>
        <w:t>08 o klasifikaci, označování a balení látek a směsí, o změně a rušení směrnic 67/548/EHS a 1999/ES a</w:t>
      </w:r>
      <w:r w:rsidR="00A34F9B">
        <w:t> </w:t>
      </w:r>
      <w:r>
        <w:t>o</w:t>
      </w:r>
      <w:r w:rsidR="00A34F9B">
        <w:t> </w:t>
      </w:r>
      <w:r>
        <w:t xml:space="preserve">změně nařízení (ES) č. 1907/2006. </w:t>
      </w:r>
    </w:p>
    <w:p w:rsidR="00597DFE" w:rsidRPr="00EC1DAD" w:rsidRDefault="00597DFE" w:rsidP="00597DFE">
      <w:pPr>
        <w:pStyle w:val="Normlntun"/>
      </w:pPr>
      <w:r w:rsidRPr="00EC1DAD">
        <w:t xml:space="preserve">K bodu </w:t>
      </w:r>
      <w:r w:rsidR="000C02AF">
        <w:t>16</w:t>
      </w:r>
    </w:p>
    <w:p w:rsidR="00597DFE" w:rsidRPr="00EC1DAD" w:rsidRDefault="00597DFE" w:rsidP="00597DFE">
      <w:r w:rsidRPr="00EC1DAD">
        <w:t xml:space="preserve">Jedná se pouze o </w:t>
      </w:r>
      <w:r w:rsidR="00D179D8" w:rsidRPr="00EC1DAD">
        <w:t>legislativně technickou úpravu.</w:t>
      </w:r>
    </w:p>
    <w:p w:rsidR="00597DFE" w:rsidRPr="00EC1DAD" w:rsidRDefault="00597DFE" w:rsidP="00597DFE">
      <w:pPr>
        <w:pStyle w:val="Normlntun"/>
      </w:pPr>
      <w:r w:rsidRPr="00EC1DAD">
        <w:t xml:space="preserve">K bodu </w:t>
      </w:r>
      <w:r w:rsidR="000C02AF">
        <w:t>17</w:t>
      </w:r>
    </w:p>
    <w:p w:rsidR="00597DFE" w:rsidRPr="00EC1DAD" w:rsidRDefault="00597DFE" w:rsidP="00597DFE">
      <w:r w:rsidRPr="00EC1DAD">
        <w:t>Rozšiřuje se seznam odpadů, u nichž má provozovatel zařízení ke sběru a výkupu odpadů povinnost identifikovat předávající osoby a přebírané odpady, a které je zakázáno vykupovat v hotovosti.</w:t>
      </w:r>
    </w:p>
    <w:p w:rsidR="00597DFE" w:rsidRPr="00EC1DAD" w:rsidRDefault="00597DFE" w:rsidP="00597DFE">
      <w:pPr>
        <w:pStyle w:val="Normlntun"/>
      </w:pPr>
      <w:r w:rsidRPr="00EC1DAD">
        <w:lastRenderedPageBreak/>
        <w:t xml:space="preserve">K bodu </w:t>
      </w:r>
      <w:r w:rsidR="000C02AF">
        <w:t>18</w:t>
      </w:r>
    </w:p>
    <w:p w:rsidR="00597DFE" w:rsidRPr="00EC1DAD" w:rsidRDefault="00597DFE" w:rsidP="00597DFE">
      <w:r w:rsidRPr="00EC1DAD">
        <w:t>Ustanovení by mělo zabránit tomu, aby docházelo k neodbornému rozebírání autovraků, čímž dochází k ohrožení životního prostředí provozními kapalinami a také k zatížení obecních systémů nakládání s odpady, do kterých fyzické osoby předávají odpady z</w:t>
      </w:r>
      <w:r w:rsidR="00D179D8" w:rsidRPr="00EC1DAD">
        <w:t> </w:t>
      </w:r>
      <w:r w:rsidRPr="00EC1DAD">
        <w:t>autovraků, které nemohou předat do výkupu odpadů. Odevzdat je tak možné pouze kompletní autovrak.</w:t>
      </w:r>
      <w:r w:rsidR="000D549F" w:rsidRPr="000D549F">
        <w:rPr>
          <w:szCs w:val="22"/>
        </w:rPr>
        <w:t xml:space="preserve"> </w:t>
      </w:r>
      <w:r w:rsidR="000D549F" w:rsidRPr="0087495F">
        <w:rPr>
          <w:szCs w:val="22"/>
        </w:rPr>
        <w:t xml:space="preserve">Zároveň </w:t>
      </w:r>
      <w:r w:rsidR="000D549F">
        <w:rPr>
          <w:szCs w:val="22"/>
        </w:rPr>
        <w:t>je</w:t>
      </w:r>
      <w:r w:rsidR="000D549F" w:rsidRPr="0087495F">
        <w:rPr>
          <w:szCs w:val="22"/>
        </w:rPr>
        <w:t xml:space="preserve"> doplněno, že částí autovraku, na kterou se zákaz výkupu nevztahuje, je autobaterie</w:t>
      </w:r>
      <w:r w:rsidR="000D549F">
        <w:rPr>
          <w:szCs w:val="22"/>
        </w:rPr>
        <w:t>.</w:t>
      </w:r>
      <w:r w:rsidR="000D549F" w:rsidRPr="0087495F">
        <w:rPr>
          <w:szCs w:val="22"/>
        </w:rPr>
        <w:t xml:space="preserve"> </w:t>
      </w:r>
      <w:r w:rsidR="000D549F">
        <w:rPr>
          <w:szCs w:val="22"/>
        </w:rPr>
        <w:t>U</w:t>
      </w:r>
      <w:r w:rsidR="000D549F" w:rsidRPr="0087495F">
        <w:rPr>
          <w:szCs w:val="22"/>
        </w:rPr>
        <w:t xml:space="preserve"> autobaterie je naopak důležité, aby byli lidé motivováni </w:t>
      </w:r>
      <w:r w:rsidR="000D549F">
        <w:rPr>
          <w:szCs w:val="22"/>
        </w:rPr>
        <w:t>ke správnému nakládání, protože představuje ohrožení pro</w:t>
      </w:r>
      <w:r w:rsidR="000D549F" w:rsidRPr="0087495F">
        <w:rPr>
          <w:szCs w:val="22"/>
        </w:rPr>
        <w:t xml:space="preserve"> životní prostředí.</w:t>
      </w:r>
    </w:p>
    <w:p w:rsidR="00597DFE" w:rsidRPr="00EC1DAD" w:rsidRDefault="00597DFE" w:rsidP="00597DFE">
      <w:pPr>
        <w:pStyle w:val="Normlntun"/>
      </w:pPr>
      <w:r w:rsidRPr="00EC1DAD">
        <w:t xml:space="preserve">K bodu </w:t>
      </w:r>
      <w:r w:rsidR="000C02AF">
        <w:t>19</w:t>
      </w:r>
    </w:p>
    <w:p w:rsidR="00597DFE" w:rsidRPr="00EC1DAD" w:rsidRDefault="00597DFE" w:rsidP="00597DFE">
      <w:r w:rsidRPr="00EC1DAD">
        <w:t>S ohledem na přehlednost právní úpravy a na změnu § 18 zákona se jednoznačně identifikují odpady, za které může být poskytována úhrada pouze způsobem vymezeným v</w:t>
      </w:r>
      <w:r w:rsidR="00D179D8" w:rsidRPr="00EC1DAD">
        <w:t> </w:t>
      </w:r>
      <w:r w:rsidRPr="00EC1DAD">
        <w:t>§</w:t>
      </w:r>
      <w:r w:rsidR="00D179D8" w:rsidRPr="00EC1DAD">
        <w:t> </w:t>
      </w:r>
      <w:r w:rsidRPr="00EC1DAD">
        <w:t>18 odst. 5 zákona.</w:t>
      </w:r>
    </w:p>
    <w:p w:rsidR="00597DFE" w:rsidRPr="00EC1DAD" w:rsidRDefault="00597DFE" w:rsidP="00597DFE">
      <w:pPr>
        <w:pStyle w:val="Normlntun"/>
      </w:pPr>
      <w:r w:rsidRPr="00EC1DAD">
        <w:t xml:space="preserve">K bodům </w:t>
      </w:r>
      <w:r w:rsidR="000C02AF">
        <w:t>20, 21</w:t>
      </w:r>
      <w:r w:rsidR="00E72418">
        <w:t xml:space="preserve"> </w:t>
      </w:r>
      <w:r w:rsidR="000C02AF">
        <w:t>a</w:t>
      </w:r>
      <w:r w:rsidR="000D549F">
        <w:t xml:space="preserve"> </w:t>
      </w:r>
      <w:r w:rsidRPr="00EC1DAD">
        <w:t>22</w:t>
      </w:r>
    </w:p>
    <w:p w:rsidR="000D549F" w:rsidRPr="00EC1DAD" w:rsidRDefault="00597DFE" w:rsidP="00597DFE">
      <w:r w:rsidRPr="00EC1DAD">
        <w:t>Zpětný odběr olejů je novelou zákona zrušen, a protože tato obecná úprava pro roční zprávu o plnění povinností zpětného odběru se vztahuje v současné době pouze na odpadní oleje, stává se část pátá obsoletní a je vhodné ji zrušit.</w:t>
      </w:r>
    </w:p>
    <w:p w:rsidR="00597DFE" w:rsidRPr="00EC1DAD" w:rsidRDefault="00597DFE" w:rsidP="00597DFE">
      <w:pPr>
        <w:pStyle w:val="Normlntun"/>
      </w:pPr>
      <w:r w:rsidRPr="00EC1DAD">
        <w:t xml:space="preserve">K bodu </w:t>
      </w:r>
      <w:r w:rsidR="000D549F">
        <w:t>2</w:t>
      </w:r>
      <w:r w:rsidR="000C02AF">
        <w:t>3</w:t>
      </w:r>
    </w:p>
    <w:p w:rsidR="00597DFE" w:rsidRPr="00EC1DAD" w:rsidRDefault="00597DFE" w:rsidP="00597DFE">
      <w:r w:rsidRPr="00EC1DAD">
        <w:t>S ohledem na změnu zákona, kde se nově neupravuje samostatné hlášení o sběrových místech a skladech odpadů, se upravuje název části šesté.</w:t>
      </w:r>
    </w:p>
    <w:p w:rsidR="000D549F" w:rsidRPr="00FA4B67" w:rsidRDefault="000D549F" w:rsidP="000D549F">
      <w:pPr>
        <w:rPr>
          <w:b/>
        </w:rPr>
      </w:pPr>
      <w:r w:rsidRPr="00FA4B67">
        <w:rPr>
          <w:b/>
        </w:rPr>
        <w:t>K bodu 2</w:t>
      </w:r>
      <w:r w:rsidR="000C02AF">
        <w:rPr>
          <w:b/>
        </w:rPr>
        <w:t>4</w:t>
      </w:r>
    </w:p>
    <w:p w:rsidR="000D549F" w:rsidRDefault="000D549F" w:rsidP="000D549F">
      <w:r w:rsidRPr="0087495F">
        <w:rPr>
          <w:rFonts w:cs="Arial"/>
          <w:szCs w:val="22"/>
        </w:rPr>
        <w:t xml:space="preserve">Pokud je součástí provozovny vícero zařízení, </w:t>
      </w:r>
      <w:r w:rsidR="00A647DA">
        <w:rPr>
          <w:rFonts w:cs="Arial"/>
          <w:szCs w:val="22"/>
        </w:rPr>
        <w:t xml:space="preserve">pak z důvodu sledování zpracovaných toků </w:t>
      </w:r>
      <w:r w:rsidR="00604B9F">
        <w:rPr>
          <w:rFonts w:cs="Arial"/>
          <w:szCs w:val="22"/>
        </w:rPr>
        <w:t xml:space="preserve">odpadů </w:t>
      </w:r>
      <w:r w:rsidR="00604B9F" w:rsidRPr="0087495F">
        <w:rPr>
          <w:rFonts w:cs="Arial"/>
          <w:szCs w:val="22"/>
        </w:rPr>
        <w:t>je</w:t>
      </w:r>
      <w:r w:rsidRPr="0087495F">
        <w:rPr>
          <w:rFonts w:cs="Arial"/>
          <w:szCs w:val="22"/>
        </w:rPr>
        <w:t xml:space="preserve"> třeba ohlášení provádět ke každému zařízení na provozovně. Z tohoto důvodu je třeba vyhlášk</w:t>
      </w:r>
      <w:r>
        <w:rPr>
          <w:rFonts w:cs="Arial"/>
          <w:szCs w:val="22"/>
        </w:rPr>
        <w:t>u</w:t>
      </w:r>
      <w:r w:rsidRPr="0087495F">
        <w:rPr>
          <w:rFonts w:cs="Arial"/>
          <w:szCs w:val="22"/>
        </w:rPr>
        <w:t xml:space="preserve"> </w:t>
      </w:r>
      <w:r>
        <w:rPr>
          <w:rFonts w:cs="Arial"/>
          <w:szCs w:val="22"/>
        </w:rPr>
        <w:t>doplnit</w:t>
      </w:r>
      <w:r w:rsidRPr="0087495F">
        <w:rPr>
          <w:rFonts w:cs="Arial"/>
          <w:szCs w:val="22"/>
        </w:rPr>
        <w:t xml:space="preserve"> tak, aby kromě samostatné provozovny byla evidence/ohlašování prováděno pro každé zařízení v rámci provozovny.</w:t>
      </w:r>
    </w:p>
    <w:p w:rsidR="00597DFE" w:rsidRPr="00EC1DAD" w:rsidRDefault="00597DFE" w:rsidP="00597DFE">
      <w:pPr>
        <w:pStyle w:val="Normlntun"/>
      </w:pPr>
      <w:r w:rsidRPr="00EC1DAD">
        <w:t xml:space="preserve">K bodu </w:t>
      </w:r>
      <w:r w:rsidR="000C02AF">
        <w:t>25</w:t>
      </w:r>
    </w:p>
    <w:p w:rsidR="00597DFE" w:rsidRPr="00EC1DAD" w:rsidRDefault="00597DFE" w:rsidP="00597DFE">
      <w:r w:rsidRPr="00EC1DAD">
        <w:t>Vyjasňuje se text vyhlášky upravený předchozí novelizací, a to tak, aby bylo zřejmé, že se jedná o zjednodušení povinnosti ve vztahu k frekvenci vedení průběžné evidence.</w:t>
      </w:r>
    </w:p>
    <w:p w:rsidR="00597DFE" w:rsidRPr="00EC1DAD" w:rsidRDefault="00D179D8" w:rsidP="00597DFE">
      <w:pPr>
        <w:pStyle w:val="Normlntun"/>
      </w:pPr>
      <w:r w:rsidRPr="00EC1DAD">
        <w:t xml:space="preserve">K bodu </w:t>
      </w:r>
      <w:r w:rsidR="000C02AF">
        <w:t>26</w:t>
      </w:r>
    </w:p>
    <w:p w:rsidR="00597DFE" w:rsidRDefault="00597DFE" w:rsidP="00597DFE">
      <w:r w:rsidRPr="00EC1DAD">
        <w:t>Protože hlášení o skládce odpadů se netýká nakládání s odpady, je povinnost zasílat údaje o</w:t>
      </w:r>
      <w:r w:rsidR="00D179D8" w:rsidRPr="00EC1DAD">
        <w:t> </w:t>
      </w:r>
      <w:r w:rsidRPr="00EC1DAD">
        <w:t>stavu vytvořené finanční rezervy a údaje o volné kapacitě skládky přesunuta do § 23, který se týká ohlašování zařízení. Zasílání je po praktické úrovni však nadále sjednoceno v</w:t>
      </w:r>
      <w:r w:rsidR="00D179D8" w:rsidRPr="00EC1DAD">
        <w:t> </w:t>
      </w:r>
      <w:r w:rsidRPr="00EC1DAD">
        <w:t xml:space="preserve">jednom hlášení společně s hlášením o produkci a nakládáním s </w:t>
      </w:r>
      <w:r w:rsidR="00D179D8" w:rsidRPr="00EC1DAD">
        <w:t>odpady na samostatných listech.</w:t>
      </w:r>
    </w:p>
    <w:p w:rsidR="001F6BC7" w:rsidRDefault="001F6BC7" w:rsidP="00597DFE">
      <w:r>
        <w:t>V návaznosti na změnu § 39 odst. 6 zákona se v § 22 odst. 1 písm. b) vyhlášky stanoví povinnost obce podávat roční hlášení o obecním systému nakládání s komunálními odpady na listě č. 5 přílohy č. 20.</w:t>
      </w:r>
    </w:p>
    <w:p w:rsidR="00DC0FEC" w:rsidRPr="007614F3" w:rsidRDefault="00CD57A2" w:rsidP="00597DFE">
      <w:pPr>
        <w:rPr>
          <w:b/>
        </w:rPr>
      </w:pPr>
      <w:r w:rsidRPr="007614F3">
        <w:rPr>
          <w:b/>
        </w:rPr>
        <w:t xml:space="preserve">K bodu </w:t>
      </w:r>
      <w:r w:rsidR="000C02AF">
        <w:rPr>
          <w:b/>
        </w:rPr>
        <w:t>27</w:t>
      </w:r>
    </w:p>
    <w:p w:rsidR="00DC0FEC" w:rsidRDefault="00CD57A2" w:rsidP="00597DFE">
      <w:r w:rsidRPr="007614F3">
        <w:t xml:space="preserve">Příslušnost úřadu obce s rozšířenou působností je v případě ohlašování za mobilní zařízení ke sběru odpadů nově vždy určena podle sídla oprávněné osoby. Určení příslušného úřadu </w:t>
      </w:r>
      <w:r w:rsidRPr="007614F3">
        <w:lastRenderedPageBreak/>
        <w:t>obce s rozšířenou působností podle provozovny, která zajišťuje provoz mobilních zařízení, se zrušuje, protože každé zařízení je provozovnou, a takto tedy místní příslušnost reálně nelze určit.</w:t>
      </w:r>
      <w:r w:rsidR="00E92B5D">
        <w:t xml:space="preserve"> </w:t>
      </w:r>
    </w:p>
    <w:p w:rsidR="000D549F" w:rsidRPr="00DC0FEC" w:rsidRDefault="000D549F" w:rsidP="00597DFE">
      <w:r>
        <w:t>K doplnění slova „zařízení“ viz bod 25.</w:t>
      </w:r>
    </w:p>
    <w:p w:rsidR="00597DFE" w:rsidRPr="00EC1DAD" w:rsidRDefault="00597DFE" w:rsidP="00597DFE">
      <w:pPr>
        <w:pStyle w:val="Normlntun"/>
      </w:pPr>
      <w:r w:rsidRPr="00EC1DAD">
        <w:t xml:space="preserve">K bodům </w:t>
      </w:r>
      <w:r w:rsidR="000C02AF">
        <w:t xml:space="preserve">28 </w:t>
      </w:r>
      <w:r w:rsidR="001D6491">
        <w:t xml:space="preserve">a </w:t>
      </w:r>
      <w:r w:rsidR="000C02AF">
        <w:t>29</w:t>
      </w:r>
    </w:p>
    <w:p w:rsidR="00597DFE" w:rsidRPr="00EC1DAD" w:rsidRDefault="00597DFE" w:rsidP="00597DFE">
      <w:r w:rsidRPr="00EC1DAD">
        <w:t>Údaj o množství odpadů přijatých od jiných původců odpadů je nově vyžadován na základě odstavce 1 písm. b) vyhlášky a přílohy č. 20, a proto je nutno upravit dosavadní znění odstavce 4.</w:t>
      </w:r>
    </w:p>
    <w:p w:rsidR="00597DFE" w:rsidRPr="00EC1DAD" w:rsidRDefault="00597DFE" w:rsidP="00597DFE">
      <w:r w:rsidRPr="00EC1DAD">
        <w:t>Požadavky, které jsou oproti dosavadnímu znění odstavců 5 a 6 zredukovány, vyplývají</w:t>
      </w:r>
      <w:r w:rsidR="00D179D8" w:rsidRPr="00EC1DAD">
        <w:t xml:space="preserve"> nově přímo ze zákona.</w:t>
      </w:r>
    </w:p>
    <w:p w:rsidR="00597DFE" w:rsidRPr="00EC1DAD" w:rsidRDefault="00597DFE" w:rsidP="00597DFE">
      <w:pPr>
        <w:pStyle w:val="Normlntun"/>
      </w:pPr>
      <w:r w:rsidRPr="00EC1DAD">
        <w:t xml:space="preserve">K bodu </w:t>
      </w:r>
      <w:r w:rsidR="000C02AF">
        <w:t>30</w:t>
      </w:r>
    </w:p>
    <w:p w:rsidR="00597DFE" w:rsidRPr="00EC1DAD" w:rsidRDefault="00597DFE" w:rsidP="00597DFE">
      <w:r w:rsidRPr="00EC1DAD">
        <w:t>Znění § 23 je přizpůsobeno změně zákona, kdy údaje o zařízení a dopravcích odpadů jsou zasílány krajskému úřadu. Zároveň je upraveno zasílání dalších údajů o skládkách odpadů (viz odůvodnění bodu 2</w:t>
      </w:r>
      <w:r w:rsidR="00EA557D">
        <w:t>7</w:t>
      </w:r>
      <w:r w:rsidRPr="00EC1DAD">
        <w:t>). V návaznosti na přesun povinnosti hlášení údajů o poplatcích na skládce z vyhlášky o statistických zjišťováních jsou doplněny údaje o poplatcích za ukládání odpadů na skládky, které se rovněž zasílají na listu č. 4 (nové tabulce č. 2) k hlášení o</w:t>
      </w:r>
      <w:r w:rsidR="00D179D8" w:rsidRPr="00EC1DAD">
        <w:t> produkci a nakládání s odpady.</w:t>
      </w:r>
    </w:p>
    <w:p w:rsidR="00597DFE" w:rsidRPr="00EC1DAD" w:rsidRDefault="00597DFE" w:rsidP="00597DFE">
      <w:r w:rsidRPr="00EC1DAD">
        <w:t>V § 24 se nastavují požadavky na zasílání rozhodnutí krajského úřadu a obecního úřad</w:t>
      </w:r>
      <w:r w:rsidR="00D179D8" w:rsidRPr="00EC1DAD">
        <w:t>u obce s rozšířenou působností.</w:t>
      </w:r>
    </w:p>
    <w:p w:rsidR="00597DFE" w:rsidRPr="00EC1DAD" w:rsidRDefault="00597DFE" w:rsidP="00597DFE">
      <w:pPr>
        <w:pStyle w:val="Normlntun"/>
      </w:pPr>
      <w:r w:rsidRPr="00EC1DAD">
        <w:t xml:space="preserve">K bodům </w:t>
      </w:r>
      <w:r w:rsidR="000C02AF">
        <w:t>31</w:t>
      </w:r>
      <w:r w:rsidRPr="00EC1DAD">
        <w:t xml:space="preserve">, </w:t>
      </w:r>
      <w:r w:rsidR="000C02AF">
        <w:t>36</w:t>
      </w:r>
      <w:r w:rsidRPr="00EC1DAD">
        <w:t xml:space="preserve">, </w:t>
      </w:r>
      <w:r w:rsidR="000C02AF">
        <w:t>38</w:t>
      </w:r>
      <w:r w:rsidR="000C02AF" w:rsidRPr="00EC1DAD">
        <w:t xml:space="preserve"> </w:t>
      </w:r>
      <w:r w:rsidRPr="00EC1DAD">
        <w:t xml:space="preserve">a </w:t>
      </w:r>
      <w:r w:rsidR="000C02AF">
        <w:t>39</w:t>
      </w:r>
    </w:p>
    <w:p w:rsidR="00597DFE" w:rsidRDefault="00597DFE" w:rsidP="00597DFE">
      <w:r w:rsidRPr="00EC1DAD">
        <w:t>Novým § 2</w:t>
      </w:r>
      <w:r w:rsidR="00D92A4E">
        <w:t>4a</w:t>
      </w:r>
      <w:r w:rsidRPr="00EC1DAD">
        <w:t xml:space="preserve"> se provádí zákonná povinnost krajského úřadu přidělovat identifikační čísla zařízení. Identifikační číslo se tvoří z pořadového čísla zařízení v příslušném kraji. Krajský úřad má povinnost identifikační číslo zařízení vytvořit a sdělit provozovateli zařízení. Důležitým principem je, že identifikační číslo je číslem konkrétního zařízení, proto jej není možné přidělit jinému zařízení, ani se nemění v případě přechodu užívacího práva k</w:t>
      </w:r>
      <w:r w:rsidR="00D179D8" w:rsidRPr="00EC1DAD">
        <w:t> </w:t>
      </w:r>
      <w:r w:rsidRPr="00EC1DAD">
        <w:t>zařízení, tedy i když je zařízení provozováno na základě nového souhlasu. Zároveň se v</w:t>
      </w:r>
      <w:r w:rsidR="00D179D8" w:rsidRPr="00EC1DAD">
        <w:t> </w:t>
      </w:r>
      <w:r w:rsidRPr="00EC1DAD">
        <w:t>různých částech vyhlášky doplňuje povinnost identif</w:t>
      </w:r>
      <w:r w:rsidR="00D179D8" w:rsidRPr="00EC1DAD">
        <w:t>ikační číslo zařízení používat.</w:t>
      </w:r>
    </w:p>
    <w:p w:rsidR="00F77DCC" w:rsidRDefault="00F77DCC" w:rsidP="00597DFE">
      <w:r>
        <w:t xml:space="preserve">Zároveň je jednoznačně vymezeno, že zařízením, </w:t>
      </w:r>
      <w:r w:rsidR="002A5461" w:rsidRPr="002A5461">
        <w:rPr>
          <w:rFonts w:cs="Arial"/>
        </w:rPr>
        <w:t>která nakládají s vybranými výrobky, které se staly odpadem, uvedenými v § 25 odst. 1 písm. g) zákona (autovraky) a každému zařízení určenému k nakládání s vybranými výrobky, které se staly odpadem, uvedenými v § 25 odst. 1 písm. h) zákona (elektrická a elektronická zařízení) se</w:t>
      </w:r>
      <w:r w:rsidR="00D92A4E">
        <w:rPr>
          <w:rFonts w:cs="Arial"/>
          <w:b/>
        </w:rPr>
        <w:t xml:space="preserve"> </w:t>
      </w:r>
      <w:r>
        <w:t xml:space="preserve">vždy přiděluje samostatné identifikační číslo zařízení. Důvodem je, že tato zařízení podávají hlášení o odpadech podle jiných prováděcích právních předpisů, a vedení evidence v těchto zařízeních musí být odděleno od vedení evidence o nakládání s jinými odpady. </w:t>
      </w:r>
    </w:p>
    <w:p w:rsidR="00597DFE" w:rsidRPr="00EC1DAD" w:rsidRDefault="00597DFE" w:rsidP="00597DFE">
      <w:pPr>
        <w:pStyle w:val="Normlntun"/>
      </w:pPr>
      <w:r w:rsidRPr="00EC1DAD">
        <w:t xml:space="preserve">K bodům </w:t>
      </w:r>
      <w:r w:rsidR="000C02AF">
        <w:t>32</w:t>
      </w:r>
      <w:r w:rsidR="001D6491" w:rsidRPr="00EC1DAD">
        <w:t xml:space="preserve"> </w:t>
      </w:r>
      <w:r w:rsidRPr="00EC1DAD">
        <w:t xml:space="preserve">a </w:t>
      </w:r>
      <w:r w:rsidR="000C02AF">
        <w:t>48</w:t>
      </w:r>
    </w:p>
    <w:p w:rsidR="00597DFE" w:rsidRDefault="00597DFE" w:rsidP="00597DFE">
      <w:r w:rsidRPr="00EC1DAD">
        <w:t>Nastavují se požadavky na podobu a obsah ohlašovacího listu přepravy nebezpečných odpadů a obsah dokladu v listinné podobě přikládaného k zásilce nebezpečného odpadu.</w:t>
      </w:r>
    </w:p>
    <w:p w:rsidR="000D549F" w:rsidRPr="000D549F" w:rsidRDefault="000D549F" w:rsidP="000D549F">
      <w:pPr>
        <w:widowControl w:val="0"/>
        <w:autoSpaceDE w:val="0"/>
        <w:autoSpaceDN w:val="0"/>
        <w:adjustRightInd w:val="0"/>
        <w:spacing w:after="0" w:line="240" w:lineRule="auto"/>
        <w:rPr>
          <w:rFonts w:cs="Arial"/>
        </w:rPr>
      </w:pPr>
      <w:r>
        <w:rPr>
          <w:rFonts w:cs="Arial"/>
        </w:rPr>
        <w:t>Odlišný postup je stanoven pro ohlašování přepravy nebezpečných opadů vznikajících v rámci činnosti Ministerstva obrany, kdy se toto hlášení provádí pouze v listinné podobě.</w:t>
      </w:r>
    </w:p>
    <w:p w:rsidR="00597DFE" w:rsidRPr="00EC1DAD" w:rsidRDefault="00597DFE" w:rsidP="00597DFE">
      <w:pPr>
        <w:pStyle w:val="Normlntun"/>
      </w:pPr>
      <w:r w:rsidRPr="00EC1DAD">
        <w:lastRenderedPageBreak/>
        <w:t xml:space="preserve">K bodům </w:t>
      </w:r>
      <w:r w:rsidR="000C02AF">
        <w:t>33</w:t>
      </w:r>
      <w:r w:rsidR="000C02AF" w:rsidRPr="00EC1DAD">
        <w:t xml:space="preserve"> </w:t>
      </w:r>
      <w:r w:rsidRPr="00EC1DAD">
        <w:t xml:space="preserve">a </w:t>
      </w:r>
      <w:r w:rsidR="001D6491">
        <w:t>50</w:t>
      </w:r>
    </w:p>
    <w:p w:rsidR="00597DFE" w:rsidRPr="00EC1DAD" w:rsidRDefault="00597DFE" w:rsidP="00597DFE">
      <w:r w:rsidRPr="00EC1DAD">
        <w:t>S ohledem na nabytí účinnosti Nařízení komise (EU) č. 1357/2014 ze dne 18. prosince 2014, kterým se nahrazuje příloha III směrnice Evropského parlamentu a Rady 2008/98/ES o</w:t>
      </w:r>
      <w:r w:rsidR="00D179D8" w:rsidRPr="00EC1DAD">
        <w:t> </w:t>
      </w:r>
      <w:r w:rsidRPr="00EC1DAD">
        <w:t>odpadech a o zrušení některých směrnic, bude v praxi nezbytné změnit také značení nebezpečných odpadů tak, aby toto značení obsahovalo nové názvy nebezpečných vlastností podle tohoto nařízení. Současně s touto změnou je nejvhodnější provést také sjednocení způsobu jejich grafického označení. Dosavadní znění zákona odkazovalo na použití symbolů podle zvláštního právního předpisu, kterým byl zákon č. 157/1998 Sb., o</w:t>
      </w:r>
      <w:r w:rsidR="00D179D8" w:rsidRPr="00EC1DAD">
        <w:t> </w:t>
      </w:r>
      <w:r w:rsidRPr="00EC1DAD">
        <w:t xml:space="preserve">chemických látkách a chemických přípravcích. </w:t>
      </w:r>
      <w:r w:rsidR="001D6491">
        <w:rPr>
          <w:rFonts w:cs="Arial"/>
          <w:szCs w:val="22"/>
        </w:rPr>
        <w:t>Tento zákon byl však zrušen, a v současné době účinný zákon č. 350/2011 Sb.,</w:t>
      </w:r>
      <w:r w:rsidR="001D6491" w:rsidRPr="00E34F60">
        <w:t xml:space="preserve"> </w:t>
      </w:r>
      <w:r w:rsidR="001D6491" w:rsidRPr="00E34F60">
        <w:rPr>
          <w:rFonts w:cs="Arial"/>
          <w:szCs w:val="22"/>
        </w:rPr>
        <w:t>o chemických látkách a chemických směsích a o změně některých zákonů (chemický zákon)</w:t>
      </w:r>
      <w:r w:rsidR="001D6491">
        <w:rPr>
          <w:rFonts w:cs="Arial"/>
          <w:szCs w:val="22"/>
        </w:rPr>
        <w:t xml:space="preserve"> </w:t>
      </w:r>
      <w:r w:rsidRPr="00EC1DAD">
        <w:t>byl v příslušné části nahrazen přímo použitelným předpisem Evropské unie</w:t>
      </w:r>
      <w:r w:rsidR="001D6491">
        <w:t>.</w:t>
      </w:r>
      <w:r w:rsidRPr="00EC1DAD">
        <w:t xml:space="preserve"> </w:t>
      </w:r>
      <w:r w:rsidR="001D6491">
        <w:t>Z</w:t>
      </w:r>
      <w:r w:rsidRPr="00EC1DAD">
        <w:t xml:space="preserve"> tohoto důvodu je nově odkázáno přímo na tento předpis. Vzhledem k tomu, že vymezení nebezpečných vlastností látek a odpadů je odlišné, bylo Ministerstvo životního prostředí zmocněno k vymezení rozsahu použití grafických symbolů dle přímo použitelného předpisu Evropské unie a stanovení způsobu a</w:t>
      </w:r>
      <w:r w:rsidR="00D179D8" w:rsidRPr="00EC1DAD">
        <w:t> </w:t>
      </w:r>
      <w:r w:rsidRPr="00EC1DAD">
        <w:t xml:space="preserve">rozsahu slovního označení nebezpečných odpadů a ke stanovení způsobu grafického značení infekčního nebezpečného odpadu. </w:t>
      </w:r>
      <w:r w:rsidR="001D6491">
        <w:rPr>
          <w:rFonts w:cs="Arial"/>
          <w:szCs w:val="22"/>
        </w:rPr>
        <w:t>V případě, že odpad vykazuje současně více nebezpečných vlastností, jsou použity dva nebo více symbolů, které odpovídají odpadové nebezpečné vlastnosti</w:t>
      </w:r>
      <w:r w:rsidRPr="00EC1DAD">
        <w:t>. Tento přístup by měl být pro povinné osoby uživatelsky nejjednodušší.</w:t>
      </w:r>
    </w:p>
    <w:p w:rsidR="00597DFE" w:rsidRPr="00EC1DAD" w:rsidRDefault="00597DFE" w:rsidP="00597DFE">
      <w:pPr>
        <w:pStyle w:val="Normlntun"/>
      </w:pPr>
      <w:r w:rsidRPr="00EC1DAD">
        <w:t xml:space="preserve">K bodu </w:t>
      </w:r>
      <w:r w:rsidR="003D1C28">
        <w:t>34</w:t>
      </w:r>
    </w:p>
    <w:p w:rsidR="00597DFE" w:rsidRPr="00EC1DAD" w:rsidRDefault="00597DFE" w:rsidP="00597DFE">
      <w:r w:rsidRPr="00EC1DAD">
        <w:t xml:space="preserve">Požadavky na </w:t>
      </w:r>
      <w:r w:rsidR="00B50BC7">
        <w:t>p</w:t>
      </w:r>
      <w:r w:rsidRPr="00EC1DAD">
        <w:t xml:space="preserve">lán odpadového hospodářství </w:t>
      </w:r>
      <w:r w:rsidR="00B50BC7">
        <w:t xml:space="preserve">obce </w:t>
      </w:r>
      <w:r w:rsidRPr="00EC1DAD">
        <w:t>budo</w:t>
      </w:r>
      <w:r w:rsidR="00DB74FA" w:rsidRPr="00EC1DAD">
        <w:t>u nově stanoveny přímo zákonem.</w:t>
      </w:r>
    </w:p>
    <w:p w:rsidR="00597DFE" w:rsidRPr="00EC1DAD" w:rsidRDefault="00597DFE" w:rsidP="00597DFE">
      <w:pPr>
        <w:pStyle w:val="Normlntun"/>
      </w:pPr>
      <w:r w:rsidRPr="00EC1DAD">
        <w:t xml:space="preserve">K bodu </w:t>
      </w:r>
      <w:r w:rsidR="003D1C28">
        <w:t>35</w:t>
      </w:r>
    </w:p>
    <w:p w:rsidR="00597DFE" w:rsidRPr="00EC1DAD" w:rsidRDefault="00597DFE" w:rsidP="00597DFE">
      <w:r w:rsidRPr="00EC1DAD">
        <w:t>S ohledem na zrušení Seznamu nebezpečných odpadů se ruší odkaz.</w:t>
      </w:r>
    </w:p>
    <w:p w:rsidR="00597DFE" w:rsidRPr="00EC1DAD" w:rsidRDefault="00597DFE" w:rsidP="00597DFE">
      <w:pPr>
        <w:pStyle w:val="Normlntun"/>
      </w:pPr>
      <w:r w:rsidRPr="00EC1DAD">
        <w:t xml:space="preserve">K bodu </w:t>
      </w:r>
      <w:r w:rsidR="003D1C28">
        <w:t>37</w:t>
      </w:r>
    </w:p>
    <w:p w:rsidR="00597DFE" w:rsidRPr="00EC1DAD" w:rsidRDefault="00597DFE" w:rsidP="00597DFE">
      <w:r w:rsidRPr="00EC1DAD">
        <w:t>Doplňuje se při předchozí novelizaci opomenutý požadavek na uchovávání získaných údajů. Uchovávání je klíč</w:t>
      </w:r>
      <w:r w:rsidR="000901DD">
        <w:t>o</w:t>
      </w:r>
      <w:r w:rsidRPr="00EC1DAD">
        <w:t>vé pro možnosti kontroly zařízení.</w:t>
      </w:r>
    </w:p>
    <w:p w:rsidR="00597DFE" w:rsidRPr="00EC1DAD" w:rsidRDefault="00597DFE" w:rsidP="00597DFE">
      <w:pPr>
        <w:pStyle w:val="Normlntun"/>
      </w:pPr>
      <w:r w:rsidRPr="00EC1DAD">
        <w:t xml:space="preserve">K bodu </w:t>
      </w:r>
      <w:r w:rsidR="003D1C28">
        <w:t>40</w:t>
      </w:r>
    </w:p>
    <w:p w:rsidR="00597DFE" w:rsidRPr="00EC1DAD" w:rsidRDefault="00597DFE" w:rsidP="00597DFE">
      <w:r w:rsidRPr="00EC1DAD">
        <w:t>S ohledem na nabytí účinnosti Nařízení komise (EU) č. 1357/2014 ze dne 18. prosince 2014, kterým se nahrazuje příloha III směrnice Evropského parlamentu a Rady 2008/98/ES o</w:t>
      </w:r>
      <w:r w:rsidR="00D179D8" w:rsidRPr="00EC1DAD">
        <w:t> </w:t>
      </w:r>
      <w:r w:rsidRPr="00EC1DAD">
        <w:t>odpadech a o zrušení některých směrnic, bude v praxi nezbytné změnit všechny existující identifikační listy nebezpečného odpadu. Aktualizují se proto požadavky na jeho obsah tak, aby jednak odpovídaly výše uvedenému nařízení a dále, aby byly informace uvedené v</w:t>
      </w:r>
      <w:r w:rsidR="00D179D8" w:rsidRPr="00EC1DAD">
        <w:t> </w:t>
      </w:r>
      <w:r w:rsidRPr="00EC1DAD">
        <w:t xml:space="preserve">identifikačním listu plně využitelné pro potřeby bezpečného nakládání s daným nebezpečným odpadem. </w:t>
      </w:r>
    </w:p>
    <w:p w:rsidR="00597DFE" w:rsidRPr="00EC1DAD" w:rsidRDefault="00597DFE" w:rsidP="00597DFE">
      <w:pPr>
        <w:pStyle w:val="Normlntun"/>
      </w:pPr>
      <w:r w:rsidRPr="00EC1DAD">
        <w:t xml:space="preserve">K bodům </w:t>
      </w:r>
      <w:r w:rsidR="003D1C28">
        <w:t>41</w:t>
      </w:r>
      <w:r w:rsidR="003D1C28" w:rsidRPr="00EC1DAD">
        <w:t xml:space="preserve"> </w:t>
      </w:r>
      <w:r w:rsidRPr="00EC1DAD">
        <w:t xml:space="preserve">a </w:t>
      </w:r>
      <w:r w:rsidR="003D1C28">
        <w:t>43</w:t>
      </w:r>
    </w:p>
    <w:p w:rsidR="00597DFE" w:rsidRDefault="00597DFE" w:rsidP="00597DFE">
      <w:r w:rsidRPr="00EC1DAD">
        <w:t>V zákoně byl zpětný odběr odpadních olejů zrušen, příloha č. 14 proto pozbyla smysl. Odpadní oleje zůstávaly poslední komoditou, pro jejíž zpětný odběr nebyl nastaven samostatný prováděcí předpis, se zrušením jejich zpětného odběru pozbývá smyslu také příloha č. 19.</w:t>
      </w:r>
    </w:p>
    <w:p w:rsidR="000D549F" w:rsidRDefault="000D549F" w:rsidP="000D549F">
      <w:pPr>
        <w:pStyle w:val="Normlntun"/>
      </w:pPr>
      <w:r>
        <w:lastRenderedPageBreak/>
        <w:t xml:space="preserve">K bodu </w:t>
      </w:r>
      <w:r w:rsidR="003D1C28">
        <w:t>42</w:t>
      </w:r>
    </w:p>
    <w:p w:rsidR="000D549F" w:rsidRPr="00EC1DAD" w:rsidRDefault="000D549F" w:rsidP="00597DFE">
      <w:r w:rsidRPr="00EC1DAD">
        <w:t>Jedná se pouze o legislativně technickou úpravu.</w:t>
      </w:r>
    </w:p>
    <w:p w:rsidR="00597DFE" w:rsidRPr="00EC1DAD" w:rsidRDefault="00597DFE" w:rsidP="00597DFE">
      <w:pPr>
        <w:pStyle w:val="Normlntun"/>
      </w:pPr>
      <w:r w:rsidRPr="00EC1DAD">
        <w:t xml:space="preserve">K bodu </w:t>
      </w:r>
      <w:r w:rsidR="003D1C28">
        <w:t>44</w:t>
      </w:r>
    </w:p>
    <w:p w:rsidR="00597DFE" w:rsidRPr="00EC1DAD" w:rsidRDefault="00597DFE" w:rsidP="00597DFE">
      <w:r w:rsidRPr="00EC1DAD">
        <w:t>Příloha č. 20 byla přizpůsobena zavedení identifikačního čísla zařízení</w:t>
      </w:r>
      <w:r w:rsidR="0013633D">
        <w:t xml:space="preserve"> a novele zákona č.</w:t>
      </w:r>
      <w:r w:rsidR="00A34F9B">
        <w:t> </w:t>
      </w:r>
      <w:r w:rsidR="0013633D">
        <w:t>223/2015 Sb.</w:t>
      </w:r>
    </w:p>
    <w:p w:rsidR="00597DFE" w:rsidRPr="00EC1DAD" w:rsidRDefault="00597DFE" w:rsidP="00597DFE">
      <w:r w:rsidRPr="00EC1DAD">
        <w:t>S ohledem na skutečnost, že vykazování do Evropské unie se v řadě případů provádí v</w:t>
      </w:r>
      <w:r w:rsidR="00D179D8" w:rsidRPr="00EC1DAD">
        <w:t> </w:t>
      </w:r>
      <w:r w:rsidRPr="00EC1DAD">
        <w:t>rozsahu R a D kódů podle rámcové směrnice o odpadech, je nezbytné přiřadit N kódy ke</w:t>
      </w:r>
      <w:r w:rsidR="00D179D8" w:rsidRPr="00EC1DAD">
        <w:t> </w:t>
      </w:r>
      <w:r w:rsidRPr="00EC1DAD">
        <w:t>způsobům využití nebo odstranění pod kódy R a D. Za tímto účelem se do vysvětlivek k</w:t>
      </w:r>
      <w:r w:rsidR="00D179D8" w:rsidRPr="00EC1DAD">
        <w:t> </w:t>
      </w:r>
      <w:r w:rsidRPr="00EC1DAD">
        <w:t>listu č. 2 „Hlášení o produkci a nakládání s odpady“ doplňuje tabulka, která stanoví způsob přiřazování N kódů ke kódům A, R a D.</w:t>
      </w:r>
    </w:p>
    <w:p w:rsidR="00597DFE" w:rsidRPr="00EC1DAD" w:rsidRDefault="00597DFE" w:rsidP="00597DFE">
      <w:r w:rsidRPr="00EC1DAD">
        <w:t xml:space="preserve">S ohledem na převod příslušného statistického zjišťování (viz odůvodnění k bodu </w:t>
      </w:r>
      <w:r w:rsidR="00EA557D" w:rsidRPr="00EA557D">
        <w:t>31</w:t>
      </w:r>
      <w:r w:rsidRPr="00EC1DAD">
        <w:t>) se doplňují do listu č. 4 údaje o poplatcích</w:t>
      </w:r>
      <w:r w:rsidR="00DB74FA" w:rsidRPr="00EC1DAD">
        <w:t xml:space="preserve"> za ukládání odpadů na skládky.</w:t>
      </w:r>
    </w:p>
    <w:p w:rsidR="00597DFE" w:rsidRDefault="00597DFE" w:rsidP="00597DFE">
      <w:r w:rsidRPr="00EC1DAD">
        <w:t xml:space="preserve">V návaznosti na zavedení povinnosti obcí každoročně ohlašovat údaje o obecním systému nakládání s komunálními odpady (§ 39 odst. 6 zákona) se doplňuje nový list č. 5. </w:t>
      </w:r>
    </w:p>
    <w:p w:rsidR="00597DFE" w:rsidRPr="00EC1DAD" w:rsidRDefault="00597DFE" w:rsidP="00597DFE">
      <w:pPr>
        <w:pStyle w:val="Normlntun"/>
      </w:pPr>
      <w:r w:rsidRPr="00EC1DAD">
        <w:t xml:space="preserve">K bodům </w:t>
      </w:r>
      <w:r w:rsidR="001D6491">
        <w:t>45</w:t>
      </w:r>
      <w:r w:rsidR="001D6491" w:rsidRPr="00EC1DAD">
        <w:t xml:space="preserve"> </w:t>
      </w:r>
      <w:r w:rsidRPr="00EC1DAD">
        <w:t xml:space="preserve">a </w:t>
      </w:r>
      <w:r w:rsidR="003D1C28">
        <w:t>46</w:t>
      </w:r>
      <w:r w:rsidR="001D6491" w:rsidRPr="00EC1DAD">
        <w:t xml:space="preserve"> </w:t>
      </w:r>
    </w:p>
    <w:p w:rsidR="00597DFE" w:rsidRDefault="00597DFE" w:rsidP="00597DFE">
      <w:r w:rsidRPr="00EC1DAD">
        <w:t>Formulář pro hlášení o provozu jednotlivých druhů zařízení byl sjednocen a je upraven v</w:t>
      </w:r>
      <w:r w:rsidR="00D179D8" w:rsidRPr="00EC1DAD">
        <w:t> </w:t>
      </w:r>
      <w:r w:rsidRPr="00EC1DAD">
        <w:t>jedné příloze č. 22, jejíž jednotlivé listy slouží pro zvláštní údaje pro jednotlivá zařízení, a</w:t>
      </w:r>
      <w:r w:rsidR="00D179D8" w:rsidRPr="00EC1DAD">
        <w:t> </w:t>
      </w:r>
      <w:r w:rsidRPr="00EC1DAD">
        <w:t>přílohy č. 23 a 24 budou zrušeny. S ohledem na nastavení jednoznačných požadavků, v</w:t>
      </w:r>
      <w:r w:rsidR="00D179D8" w:rsidRPr="00EC1DAD">
        <w:t> </w:t>
      </w:r>
      <w:r w:rsidRPr="00EC1DAD">
        <w:t>případě, že jsou vyhláškou požadovány údaje o kapacitě zařízení, je doplněna tabulka kapacit.</w:t>
      </w:r>
    </w:p>
    <w:p w:rsidR="000D549F" w:rsidRPr="00872F7B" w:rsidRDefault="000D549F" w:rsidP="000D549F">
      <w:pPr>
        <w:rPr>
          <w:b/>
        </w:rPr>
      </w:pPr>
      <w:r>
        <w:rPr>
          <w:b/>
        </w:rPr>
        <w:t xml:space="preserve">K bodu </w:t>
      </w:r>
      <w:r w:rsidR="003D1C28">
        <w:rPr>
          <w:b/>
        </w:rPr>
        <w:t>47</w:t>
      </w:r>
    </w:p>
    <w:p w:rsidR="00E420F3" w:rsidRDefault="004024C9">
      <w:pPr>
        <w:rPr>
          <w:rFonts w:cs="Arial"/>
        </w:rPr>
      </w:pPr>
      <w:r w:rsidRPr="00EC1DAD">
        <w:t xml:space="preserve">V návaznosti na zavedení povinnosti </w:t>
      </w:r>
      <w:r w:rsidR="00BF0FB3">
        <w:t>o</w:t>
      </w:r>
      <w:r w:rsidR="00BF0FB3" w:rsidRPr="00BF0FB3">
        <w:t>becní</w:t>
      </w:r>
      <w:r w:rsidR="00BF0FB3">
        <w:t>ho</w:t>
      </w:r>
      <w:r w:rsidR="00BF0FB3" w:rsidRPr="00BF0FB3">
        <w:t xml:space="preserve"> úřad</w:t>
      </w:r>
      <w:r w:rsidR="00BF0FB3">
        <w:t>u</w:t>
      </w:r>
      <w:r w:rsidR="00BF0FB3" w:rsidRPr="00BF0FB3">
        <w:t xml:space="preserve"> obce s rozšířenou působností a</w:t>
      </w:r>
      <w:r w:rsidR="00A34F9B">
        <w:t> </w:t>
      </w:r>
      <w:r w:rsidR="00BF0FB3" w:rsidRPr="00BF0FB3">
        <w:t>krajsk</w:t>
      </w:r>
      <w:r w:rsidR="00BF0FB3">
        <w:t>ého</w:t>
      </w:r>
      <w:r w:rsidR="00BF0FB3" w:rsidRPr="00BF0FB3">
        <w:t xml:space="preserve"> úřad</w:t>
      </w:r>
      <w:r w:rsidR="00BF0FB3">
        <w:t xml:space="preserve">u </w:t>
      </w:r>
      <w:r w:rsidR="00BF0FB3" w:rsidRPr="00BF0FB3">
        <w:t>zasíla</w:t>
      </w:r>
      <w:r w:rsidR="00BF0FB3">
        <w:t>t</w:t>
      </w:r>
      <w:r w:rsidR="00BF0FB3" w:rsidRPr="00BF0FB3">
        <w:t xml:space="preserve"> ministerstvu informace o každém rozhodnutí vydaném podle zákona, do 15 dnů ode dne nabytí jeho právní moci. </w:t>
      </w:r>
      <w:r w:rsidR="00BF0FB3">
        <w:t>Dále povinnosti o</w:t>
      </w:r>
      <w:r w:rsidR="00BF0FB3" w:rsidRPr="00BF0FB3">
        <w:t>becní</w:t>
      </w:r>
      <w:r w:rsidR="00BF0FB3">
        <w:t xml:space="preserve">ho </w:t>
      </w:r>
      <w:r w:rsidR="00BF0FB3" w:rsidRPr="00BF0FB3">
        <w:t>úřad</w:t>
      </w:r>
      <w:r w:rsidR="00BF0FB3">
        <w:t>u</w:t>
      </w:r>
      <w:r w:rsidR="00BF0FB3" w:rsidRPr="00BF0FB3">
        <w:t xml:space="preserve"> obce s</w:t>
      </w:r>
      <w:r w:rsidR="00A34F9B">
        <w:t> </w:t>
      </w:r>
      <w:r w:rsidR="00BF0FB3" w:rsidRPr="00BF0FB3">
        <w:t>rozšířenou působností zasílat ministerstvu informace o každém vyjádření vydaném ke zřízení malých zařízení pro biologické zpracování využitelných biologicky rozložitelných odpadů</w:t>
      </w:r>
      <w:r w:rsidR="00BF0FB3">
        <w:t xml:space="preserve">, </w:t>
      </w:r>
      <w:r w:rsidR="00BF0FB3" w:rsidRPr="00BF0FB3">
        <w:t xml:space="preserve">do 15 dnů ode dne jeho vydání. </w:t>
      </w:r>
      <w:r w:rsidR="00BF0FB3">
        <w:t>Dále povinnosti k</w:t>
      </w:r>
      <w:r w:rsidR="00BF0FB3" w:rsidRPr="00BF0FB3">
        <w:t>rajsk</w:t>
      </w:r>
      <w:r w:rsidR="00BF0FB3">
        <w:t xml:space="preserve">ého </w:t>
      </w:r>
      <w:r w:rsidR="00BF0FB3" w:rsidRPr="00BF0FB3">
        <w:t>úřad</w:t>
      </w:r>
      <w:r w:rsidR="00BF0FB3">
        <w:t xml:space="preserve">u </w:t>
      </w:r>
      <w:r w:rsidR="00BF0FB3" w:rsidRPr="00BF0FB3">
        <w:t>zas</w:t>
      </w:r>
      <w:r w:rsidR="00BF0FB3">
        <w:t xml:space="preserve">lat </w:t>
      </w:r>
      <w:r w:rsidR="00BF0FB3" w:rsidRPr="00BF0FB3">
        <w:t>ministerstvu informace o provozu zařízení a dopravcích odpadů do 15 dnů ode dne jejich obdržení</w:t>
      </w:r>
      <w:r w:rsidR="00BF0FB3">
        <w:t>. Je upravena stávající příloha č. 25 vyhlášky. Upravuje se h</w:t>
      </w:r>
      <w:r w:rsidRPr="00BF0FB3">
        <w:rPr>
          <w:bCs/>
        </w:rPr>
        <w:t xml:space="preserve">lášení krajského úřadu o vydaných rozhodnutích podle zákona, včetně ohlášených údajů o zařízeních a přidělovaných </w:t>
      </w:r>
      <w:r w:rsidRPr="00BF0FB3">
        <w:t>identifikačních</w:t>
      </w:r>
      <w:r w:rsidRPr="00BF0FB3">
        <w:rPr>
          <w:bCs/>
        </w:rPr>
        <w:t xml:space="preserve"> číslech zařízení a hlášení obecního úřadu obce s rozšířenou působností o</w:t>
      </w:r>
      <w:r w:rsidR="00A34F9B">
        <w:rPr>
          <w:bCs/>
        </w:rPr>
        <w:t> </w:t>
      </w:r>
      <w:r w:rsidRPr="00BF0FB3">
        <w:rPr>
          <w:bCs/>
        </w:rPr>
        <w:t>vydaných rozhodnutích a vyjádřeních podle zákona</w:t>
      </w:r>
      <w:r w:rsidR="00BF0FB3">
        <w:rPr>
          <w:bCs/>
        </w:rPr>
        <w:t>.</w:t>
      </w:r>
      <w:r w:rsidR="00CC43A3">
        <w:rPr>
          <w:bCs/>
        </w:rPr>
        <w:t xml:space="preserve"> </w:t>
      </w:r>
      <w:r w:rsidR="00CC43A3">
        <w:t xml:space="preserve">Požadované informace budou ministerstvu zasílány </w:t>
      </w:r>
      <w:r w:rsidR="00CC43A3" w:rsidRPr="00AC303E">
        <w:rPr>
          <w:rFonts w:cs="Arial"/>
        </w:rPr>
        <w:t>v požadovaném rozsahu údajů podle přenosového datového standardu ministerstva</w:t>
      </w:r>
      <w:r w:rsidR="00CC43A3">
        <w:rPr>
          <w:rFonts w:cs="Arial"/>
        </w:rPr>
        <w:t xml:space="preserve"> prostřednictvím upravených stávajících informačních systémů. </w:t>
      </w:r>
    </w:p>
    <w:p w:rsidR="00597DFE" w:rsidRPr="00EC1DAD" w:rsidRDefault="00597DFE" w:rsidP="00597DFE">
      <w:pPr>
        <w:pStyle w:val="Normlntun"/>
      </w:pPr>
      <w:r w:rsidRPr="00EC1DAD">
        <w:t xml:space="preserve">K bodu </w:t>
      </w:r>
      <w:r w:rsidR="003D1C28">
        <w:t>49</w:t>
      </w:r>
    </w:p>
    <w:p w:rsidR="00597DFE" w:rsidRDefault="00597DFE" w:rsidP="00597DFE">
      <w:r w:rsidRPr="00EC1DAD">
        <w:t>Nastavují se požadavky na hlášení dopravce odpadů. Rozsah údajů je stanoven tak, aby ministerstvo mohlo vést seznam dopravců odpadů, a plnilo požadavky rámcové směrnice o</w:t>
      </w:r>
      <w:r w:rsidR="00D179D8" w:rsidRPr="00EC1DAD">
        <w:t> </w:t>
      </w:r>
      <w:r w:rsidRPr="00EC1DAD">
        <w:t>odpadech.</w:t>
      </w:r>
    </w:p>
    <w:p w:rsidR="00F75D6E" w:rsidRDefault="00F75D6E" w:rsidP="00F75D6E">
      <w:pPr>
        <w:pStyle w:val="Normlntun"/>
        <w:rPr>
          <w:b w:val="0"/>
        </w:rPr>
      </w:pPr>
      <w:r>
        <w:lastRenderedPageBreak/>
        <w:t xml:space="preserve">K čl. II – Přechodná ustanovení </w:t>
      </w:r>
    </w:p>
    <w:p w:rsidR="00020AB8" w:rsidRDefault="00CB736C" w:rsidP="00CB736C">
      <w:r>
        <w:t xml:space="preserve">V případě úpravy označování nebezpečného odpadu je </w:t>
      </w:r>
      <w:r w:rsidR="00020AB8">
        <w:t xml:space="preserve">stanovení přechodného období žádoucí z </w:t>
      </w:r>
      <w:r>
        <w:t>důvodů časové náročnosti přeznačení nebezpečných odpadů a jejich shromažďovacích prostředků</w:t>
      </w:r>
      <w:r w:rsidR="00020AB8">
        <w:t xml:space="preserve">. </w:t>
      </w:r>
    </w:p>
    <w:p w:rsidR="00CB736C" w:rsidRDefault="00CB736C" w:rsidP="00CB736C">
      <w:pPr>
        <w:rPr>
          <w:szCs w:val="22"/>
        </w:rPr>
      </w:pPr>
      <w:r>
        <w:rPr>
          <w:szCs w:val="22"/>
        </w:rPr>
        <w:t>V případě p</w:t>
      </w:r>
      <w:r w:rsidRPr="0087495F">
        <w:rPr>
          <w:szCs w:val="22"/>
        </w:rPr>
        <w:t>ovinnost</w:t>
      </w:r>
      <w:r>
        <w:rPr>
          <w:szCs w:val="22"/>
        </w:rPr>
        <w:t>i</w:t>
      </w:r>
      <w:r w:rsidRPr="0087495F">
        <w:rPr>
          <w:szCs w:val="22"/>
        </w:rPr>
        <w:t xml:space="preserve"> používat </w:t>
      </w:r>
      <w:r w:rsidRPr="00520AD7">
        <w:rPr>
          <w:rFonts w:cs="Arial"/>
          <w:bCs/>
        </w:rPr>
        <w:t xml:space="preserve">identifikační číslo provozovny </w:t>
      </w:r>
      <w:r w:rsidRPr="0087495F">
        <w:rPr>
          <w:szCs w:val="22"/>
        </w:rPr>
        <w:t xml:space="preserve">pro účely vedení evidence </w:t>
      </w:r>
      <w:r>
        <w:rPr>
          <w:szCs w:val="22"/>
        </w:rPr>
        <w:t>je stanoveno přechodné období tak,</w:t>
      </w:r>
      <w:r w:rsidRPr="0087495F">
        <w:rPr>
          <w:szCs w:val="22"/>
        </w:rPr>
        <w:t xml:space="preserve"> aby měli všichni původci dostatek času si své číslo provozovny zjistit. </w:t>
      </w:r>
    </w:p>
    <w:p w:rsidR="00597DFE" w:rsidRPr="00CB736C" w:rsidRDefault="00597DFE" w:rsidP="00CB736C">
      <w:pPr>
        <w:rPr>
          <w:b/>
          <w:szCs w:val="22"/>
        </w:rPr>
      </w:pPr>
      <w:r w:rsidRPr="00CB736C">
        <w:rPr>
          <w:b/>
        </w:rPr>
        <w:t>K čl. I</w:t>
      </w:r>
      <w:r w:rsidR="00F75D6E" w:rsidRPr="00CB736C">
        <w:rPr>
          <w:b/>
        </w:rPr>
        <w:t>I</w:t>
      </w:r>
      <w:r w:rsidRPr="00CB736C">
        <w:rPr>
          <w:b/>
        </w:rPr>
        <w:t>I – Účinnost</w:t>
      </w:r>
    </w:p>
    <w:p w:rsidR="00CB736C" w:rsidRPr="00CB736C" w:rsidRDefault="00CB736C" w:rsidP="00CB736C">
      <w:r>
        <w:t xml:space="preserve">Návrh vyhlášky provádí </w:t>
      </w:r>
      <w:r w:rsidRPr="00EC1DAD">
        <w:t xml:space="preserve">ustanovení novely zákona o odpadech </w:t>
      </w:r>
      <w:r>
        <w:t xml:space="preserve">č. 223/2015 Sb., která nabývají účinnosti dnem 1. ledna 2016, proto je třeba, aby účinnost </w:t>
      </w:r>
      <w:r w:rsidR="00020AB8">
        <w:t xml:space="preserve">vyhlášky </w:t>
      </w:r>
      <w:r>
        <w:t xml:space="preserve">nastala co nejdříve. </w:t>
      </w:r>
    </w:p>
    <w:sectPr w:rsidR="00CB736C" w:rsidRPr="00CB736C" w:rsidSect="00BA0CBF">
      <w:headerReference w:type="even" r:id="rId16"/>
      <w:headerReference w:type="default" r:id="rId17"/>
      <w:footerReference w:type="default" r:id="rId18"/>
      <w:headerReference w:type="first" r:id="rId19"/>
      <w:pgSz w:w="11906" w:h="16838"/>
      <w:pgMar w:top="1417" w:right="1417" w:bottom="1417" w:left="1417" w:header="708" w:footer="708" w:gutter="0"/>
      <w:pgNumType w:start="1"/>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051CE79" w15:done="0"/>
  <w15:commentEx w15:paraId="16EAB322" w15:done="0"/>
  <w15:commentEx w15:paraId="6DBA1AC0" w15:done="0"/>
  <w15:commentEx w15:paraId="473B122A" w15:done="0"/>
  <w15:commentEx w15:paraId="7E4A4A24" w15:done="0"/>
  <w15:commentEx w15:paraId="727CFA42" w15:done="0"/>
  <w15:commentEx w15:paraId="484A6CDE" w15:done="0"/>
  <w15:commentEx w15:paraId="0859BA54" w15:done="0"/>
  <w15:commentEx w15:paraId="3CC86686" w15:done="0"/>
  <w15:commentEx w15:paraId="6060E319" w15:done="0"/>
  <w15:commentEx w15:paraId="6F120702" w15:done="0"/>
  <w15:commentEx w15:paraId="21A3B9E3" w15:done="0"/>
  <w15:commentEx w15:paraId="211EEB25" w15:done="0"/>
  <w15:commentEx w15:paraId="154FFCDB" w15:paraIdParent="211EEB2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995" w:rsidRDefault="00CE5995" w:rsidP="00DF00F7">
      <w:pPr>
        <w:spacing w:line="240" w:lineRule="auto"/>
      </w:pPr>
      <w:r>
        <w:separator/>
      </w:r>
    </w:p>
  </w:endnote>
  <w:endnote w:type="continuationSeparator" w:id="0">
    <w:p w:rsidR="00CE5995" w:rsidRDefault="00CE5995" w:rsidP="00DF00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7120671"/>
      <w:docPartObj>
        <w:docPartGallery w:val="Page Numbers (Bottom of Page)"/>
        <w:docPartUnique/>
      </w:docPartObj>
    </w:sdtPr>
    <w:sdtContent>
      <w:p w:rsidR="006F7321" w:rsidRDefault="006F7321">
        <w:pPr>
          <w:pStyle w:val="Zpat"/>
          <w:jc w:val="center"/>
        </w:pPr>
        <w:r>
          <w:fldChar w:fldCharType="begin"/>
        </w:r>
        <w:r>
          <w:instrText>PAGE   \* MERGEFORMAT</w:instrText>
        </w:r>
        <w:r>
          <w:fldChar w:fldCharType="separate"/>
        </w:r>
        <w:r>
          <w:rPr>
            <w:noProof/>
          </w:rPr>
          <w:t>24</w:t>
        </w:r>
        <w:r>
          <w:fldChar w:fldCharType="end"/>
        </w:r>
      </w:p>
    </w:sdtContent>
  </w:sdt>
  <w:p w:rsidR="00CE5995" w:rsidRDefault="00CE599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995" w:rsidRDefault="00CE5995" w:rsidP="00DF00F7">
      <w:pPr>
        <w:spacing w:line="240" w:lineRule="auto"/>
      </w:pPr>
      <w:r>
        <w:separator/>
      </w:r>
    </w:p>
  </w:footnote>
  <w:footnote w:type="continuationSeparator" w:id="0">
    <w:p w:rsidR="00CE5995" w:rsidRDefault="00CE5995" w:rsidP="00DF00F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95" w:rsidRDefault="00CE5995">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95" w:rsidRDefault="00CE5995">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95" w:rsidRDefault="00CE599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4B98"/>
    <w:multiLevelType w:val="hybridMultilevel"/>
    <w:tmpl w:val="E25CA9A0"/>
    <w:lvl w:ilvl="0" w:tplc="0405000F">
      <w:start w:val="1"/>
      <w:numFmt w:val="decimal"/>
      <w:lvlText w:val="%1."/>
      <w:lvlJc w:val="left"/>
      <w:pPr>
        <w:ind w:left="928"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nsid w:val="071032DC"/>
    <w:multiLevelType w:val="multilevel"/>
    <w:tmpl w:val="04050025"/>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2">
    <w:nsid w:val="096E7BC6"/>
    <w:multiLevelType w:val="hybridMultilevel"/>
    <w:tmpl w:val="2B6673DC"/>
    <w:lvl w:ilvl="0" w:tplc="08F4B22E">
      <w:start w:val="1"/>
      <w:numFmt w:val="upperRoman"/>
      <w:pStyle w:val="Nzev"/>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22A00D6"/>
    <w:multiLevelType w:val="hybridMultilevel"/>
    <w:tmpl w:val="6E7E53B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nsid w:val="1CBA3B90"/>
    <w:multiLevelType w:val="hybridMultilevel"/>
    <w:tmpl w:val="9F4470A0"/>
    <w:lvl w:ilvl="0" w:tplc="882A4F10">
      <w:start w:val="1"/>
      <w:numFmt w:val="upperLetter"/>
      <w:pStyle w:val="Podtitu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EAB3BD8"/>
    <w:multiLevelType w:val="hybridMultilevel"/>
    <w:tmpl w:val="9E8CD13A"/>
    <w:lvl w:ilvl="0" w:tplc="841804FC">
      <w:start w:val="1"/>
      <w:numFmt w:val="lowerLetter"/>
      <w:lvlText w:val="%1)"/>
      <w:lvlJc w:val="left"/>
      <w:pPr>
        <w:ind w:left="720" w:hanging="360"/>
      </w:pPr>
      <w:rPr>
        <w:b w:val="0"/>
        <w:bCs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nsid w:val="21270408"/>
    <w:multiLevelType w:val="hybridMultilevel"/>
    <w:tmpl w:val="C9AC5B5E"/>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257121C6"/>
    <w:multiLevelType w:val="hybridMultilevel"/>
    <w:tmpl w:val="C8F28F20"/>
    <w:lvl w:ilvl="0" w:tplc="445E22DA">
      <w:start w:val="1"/>
      <w:numFmt w:val="bullet"/>
      <w:pStyle w:val="Styl-NormlnsodrkouVlevo189cmPedsazen063cm"/>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8">
    <w:nsid w:val="377665E3"/>
    <w:multiLevelType w:val="hybridMultilevel"/>
    <w:tmpl w:val="9E8CD13A"/>
    <w:lvl w:ilvl="0" w:tplc="841804FC">
      <w:start w:val="1"/>
      <w:numFmt w:val="lowerLetter"/>
      <w:lvlText w:val="%1)"/>
      <w:lvlJc w:val="left"/>
      <w:pPr>
        <w:ind w:left="720" w:hanging="360"/>
      </w:pPr>
      <w:rPr>
        <w:b w:val="0"/>
        <w:bCs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nsid w:val="3BD23788"/>
    <w:multiLevelType w:val="hybridMultilevel"/>
    <w:tmpl w:val="D8E2F92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44FB18BD"/>
    <w:multiLevelType w:val="hybridMultilevel"/>
    <w:tmpl w:val="0F4AF11A"/>
    <w:lvl w:ilvl="0" w:tplc="841804FC">
      <w:start w:val="1"/>
      <w:numFmt w:val="lowerLetter"/>
      <w:lvlText w:val="%1)"/>
      <w:lvlJc w:val="left"/>
      <w:pPr>
        <w:ind w:left="720" w:hanging="360"/>
      </w:pPr>
      <w:rPr>
        <w:b w:val="0"/>
        <w:bCs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nsid w:val="46741D95"/>
    <w:multiLevelType w:val="hybridMultilevel"/>
    <w:tmpl w:val="E25CA9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nsid w:val="492672B3"/>
    <w:multiLevelType w:val="hybridMultilevel"/>
    <w:tmpl w:val="9E8CD13A"/>
    <w:lvl w:ilvl="0" w:tplc="841804FC">
      <w:start w:val="1"/>
      <w:numFmt w:val="lowerLetter"/>
      <w:lvlText w:val="%1)"/>
      <w:lvlJc w:val="left"/>
      <w:pPr>
        <w:ind w:left="720" w:hanging="360"/>
      </w:pPr>
      <w:rPr>
        <w:b w:val="0"/>
        <w:bCs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nsid w:val="4E3F1677"/>
    <w:multiLevelType w:val="hybridMultilevel"/>
    <w:tmpl w:val="4EC2E492"/>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nsid w:val="525D13BA"/>
    <w:multiLevelType w:val="hybridMultilevel"/>
    <w:tmpl w:val="4EC2E492"/>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5265354C"/>
    <w:multiLevelType w:val="hybridMultilevel"/>
    <w:tmpl w:val="E8EE9A94"/>
    <w:lvl w:ilvl="0" w:tplc="841804FC">
      <w:start w:val="1"/>
      <w:numFmt w:val="lowerLetter"/>
      <w:lvlText w:val="%1)"/>
      <w:lvlJc w:val="left"/>
      <w:pPr>
        <w:ind w:left="720" w:hanging="360"/>
      </w:pPr>
      <w:rPr>
        <w:b w:val="0"/>
        <w:bCs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nsid w:val="567A44D8"/>
    <w:multiLevelType w:val="hybridMultilevel"/>
    <w:tmpl w:val="4EC2E492"/>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7">
    <w:nsid w:val="65B80E8F"/>
    <w:multiLevelType w:val="hybridMultilevel"/>
    <w:tmpl w:val="E25CA9A0"/>
    <w:lvl w:ilvl="0" w:tplc="0405000F">
      <w:start w:val="1"/>
      <w:numFmt w:val="decimal"/>
      <w:lvlText w:val="%1."/>
      <w:lvlJc w:val="left"/>
      <w:pPr>
        <w:ind w:left="928"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nsid w:val="69441797"/>
    <w:multiLevelType w:val="hybridMultilevel"/>
    <w:tmpl w:val="E25CA9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nsid w:val="6A5A4EB6"/>
    <w:multiLevelType w:val="hybridMultilevel"/>
    <w:tmpl w:val="C4128262"/>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nsid w:val="7A65438C"/>
    <w:multiLevelType w:val="hybridMultilevel"/>
    <w:tmpl w:val="9E8CD13A"/>
    <w:lvl w:ilvl="0" w:tplc="841804FC">
      <w:start w:val="1"/>
      <w:numFmt w:val="lowerLetter"/>
      <w:lvlText w:val="%1)"/>
      <w:lvlJc w:val="left"/>
      <w:pPr>
        <w:ind w:left="720" w:hanging="360"/>
      </w:pPr>
      <w:rPr>
        <w:b w:val="0"/>
        <w:bCs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1">
    <w:nsid w:val="7C6879B6"/>
    <w:multiLevelType w:val="hybridMultilevel"/>
    <w:tmpl w:val="4EC2E492"/>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
  </w:num>
  <w:num w:numId="2">
    <w:abstractNumId w:val="6"/>
  </w:num>
  <w:num w:numId="3">
    <w:abstractNumId w:val="16"/>
  </w:num>
  <w:num w:numId="4">
    <w:abstractNumId w:val="12"/>
  </w:num>
  <w:num w:numId="5">
    <w:abstractNumId w:val="0"/>
  </w:num>
  <w:num w:numId="6">
    <w:abstractNumId w:val="7"/>
  </w:num>
  <w:num w:numId="7">
    <w:abstractNumId w:val="2"/>
  </w:num>
  <w:num w:numId="8">
    <w:abstractNumId w:val="4"/>
  </w:num>
  <w:num w:numId="9">
    <w:abstractNumId w:val="11"/>
  </w:num>
  <w:num w:numId="10">
    <w:abstractNumId w:val="10"/>
  </w:num>
  <w:num w:numId="11">
    <w:abstractNumId w:val="14"/>
  </w:num>
  <w:num w:numId="12">
    <w:abstractNumId w:val="18"/>
  </w:num>
  <w:num w:numId="13">
    <w:abstractNumId w:val="13"/>
  </w:num>
  <w:num w:numId="14">
    <w:abstractNumId w:val="15"/>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8"/>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5"/>
  </w:num>
  <w:num w:numId="22">
    <w:abstractNumId w:val="3"/>
  </w:num>
  <w:num w:numId="23">
    <w:abstractNumId w:val="20"/>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9"/>
  </w:num>
  <w:num w:numId="27">
    <w:abstractNumId w:val="21"/>
  </w:num>
  <w:num w:numId="28">
    <w:abstractNumId w:val="17"/>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oE (Bulkova)">
    <w15:presenceInfo w15:providerId="None" w15:userId="MoE (Bulkov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B5F"/>
    <w:rsid w:val="00001D06"/>
    <w:rsid w:val="00002D1C"/>
    <w:rsid w:val="00003AF0"/>
    <w:rsid w:val="00003FB7"/>
    <w:rsid w:val="00005C21"/>
    <w:rsid w:val="000071ED"/>
    <w:rsid w:val="000078CB"/>
    <w:rsid w:val="00007C99"/>
    <w:rsid w:val="000104AE"/>
    <w:rsid w:val="000111A7"/>
    <w:rsid w:val="00014DE3"/>
    <w:rsid w:val="0001567D"/>
    <w:rsid w:val="0002078A"/>
    <w:rsid w:val="00020AB8"/>
    <w:rsid w:val="000219A7"/>
    <w:rsid w:val="00021B28"/>
    <w:rsid w:val="00021E3E"/>
    <w:rsid w:val="000225D4"/>
    <w:rsid w:val="00022880"/>
    <w:rsid w:val="00022E32"/>
    <w:rsid w:val="000240C7"/>
    <w:rsid w:val="00024566"/>
    <w:rsid w:val="00024A05"/>
    <w:rsid w:val="000255D6"/>
    <w:rsid w:val="00027196"/>
    <w:rsid w:val="00027721"/>
    <w:rsid w:val="00030234"/>
    <w:rsid w:val="00030D1E"/>
    <w:rsid w:val="00030EE8"/>
    <w:rsid w:val="00031E6C"/>
    <w:rsid w:val="00031EAB"/>
    <w:rsid w:val="000335E0"/>
    <w:rsid w:val="00034826"/>
    <w:rsid w:val="00035AFD"/>
    <w:rsid w:val="00036D1A"/>
    <w:rsid w:val="00037557"/>
    <w:rsid w:val="000408F8"/>
    <w:rsid w:val="000429DE"/>
    <w:rsid w:val="00042C92"/>
    <w:rsid w:val="000439D6"/>
    <w:rsid w:val="00045B91"/>
    <w:rsid w:val="00047353"/>
    <w:rsid w:val="00050D90"/>
    <w:rsid w:val="000523FA"/>
    <w:rsid w:val="000556B8"/>
    <w:rsid w:val="000556F0"/>
    <w:rsid w:val="00056485"/>
    <w:rsid w:val="00056529"/>
    <w:rsid w:val="000601AB"/>
    <w:rsid w:val="0006082B"/>
    <w:rsid w:val="00060DB6"/>
    <w:rsid w:val="000625D3"/>
    <w:rsid w:val="00062C2B"/>
    <w:rsid w:val="00065183"/>
    <w:rsid w:val="00065612"/>
    <w:rsid w:val="00065FEB"/>
    <w:rsid w:val="000669CF"/>
    <w:rsid w:val="00067457"/>
    <w:rsid w:val="0006778B"/>
    <w:rsid w:val="00067D8F"/>
    <w:rsid w:val="000708D4"/>
    <w:rsid w:val="000713DA"/>
    <w:rsid w:val="0007184B"/>
    <w:rsid w:val="00071E6A"/>
    <w:rsid w:val="0007244C"/>
    <w:rsid w:val="000725CF"/>
    <w:rsid w:val="00073219"/>
    <w:rsid w:val="0007392B"/>
    <w:rsid w:val="00076A89"/>
    <w:rsid w:val="000773B1"/>
    <w:rsid w:val="000808D1"/>
    <w:rsid w:val="000815DE"/>
    <w:rsid w:val="00081653"/>
    <w:rsid w:val="00082783"/>
    <w:rsid w:val="00083F8E"/>
    <w:rsid w:val="00084391"/>
    <w:rsid w:val="000844C4"/>
    <w:rsid w:val="00084603"/>
    <w:rsid w:val="000860D1"/>
    <w:rsid w:val="000866CD"/>
    <w:rsid w:val="00086FC7"/>
    <w:rsid w:val="0008785B"/>
    <w:rsid w:val="000901DD"/>
    <w:rsid w:val="00090340"/>
    <w:rsid w:val="000904F5"/>
    <w:rsid w:val="00091277"/>
    <w:rsid w:val="000912C1"/>
    <w:rsid w:val="00091E03"/>
    <w:rsid w:val="00092224"/>
    <w:rsid w:val="00092C2B"/>
    <w:rsid w:val="00093089"/>
    <w:rsid w:val="0009456F"/>
    <w:rsid w:val="000952DC"/>
    <w:rsid w:val="000A1672"/>
    <w:rsid w:val="000A1C4E"/>
    <w:rsid w:val="000A23C9"/>
    <w:rsid w:val="000A3A17"/>
    <w:rsid w:val="000A3F79"/>
    <w:rsid w:val="000A515F"/>
    <w:rsid w:val="000A5A7E"/>
    <w:rsid w:val="000A6067"/>
    <w:rsid w:val="000A621B"/>
    <w:rsid w:val="000A661C"/>
    <w:rsid w:val="000B05FC"/>
    <w:rsid w:val="000B07F0"/>
    <w:rsid w:val="000B1011"/>
    <w:rsid w:val="000B131F"/>
    <w:rsid w:val="000B1C69"/>
    <w:rsid w:val="000B25E3"/>
    <w:rsid w:val="000B263E"/>
    <w:rsid w:val="000B2F6D"/>
    <w:rsid w:val="000B36B6"/>
    <w:rsid w:val="000B4BAD"/>
    <w:rsid w:val="000B65C9"/>
    <w:rsid w:val="000B70AB"/>
    <w:rsid w:val="000C02AF"/>
    <w:rsid w:val="000C141F"/>
    <w:rsid w:val="000C18C3"/>
    <w:rsid w:val="000C2B0E"/>
    <w:rsid w:val="000C320D"/>
    <w:rsid w:val="000C332A"/>
    <w:rsid w:val="000C33C7"/>
    <w:rsid w:val="000C4E8E"/>
    <w:rsid w:val="000C64F7"/>
    <w:rsid w:val="000C6571"/>
    <w:rsid w:val="000D02D2"/>
    <w:rsid w:val="000D090E"/>
    <w:rsid w:val="000D09E8"/>
    <w:rsid w:val="000D14B0"/>
    <w:rsid w:val="000D1F47"/>
    <w:rsid w:val="000D3EB7"/>
    <w:rsid w:val="000D42E4"/>
    <w:rsid w:val="000D4515"/>
    <w:rsid w:val="000D4D37"/>
    <w:rsid w:val="000D549F"/>
    <w:rsid w:val="000D5506"/>
    <w:rsid w:val="000D5642"/>
    <w:rsid w:val="000D61E8"/>
    <w:rsid w:val="000D734A"/>
    <w:rsid w:val="000D7833"/>
    <w:rsid w:val="000D7F9F"/>
    <w:rsid w:val="000E18C0"/>
    <w:rsid w:val="000E28A7"/>
    <w:rsid w:val="000E3463"/>
    <w:rsid w:val="000E3797"/>
    <w:rsid w:val="000E3BE2"/>
    <w:rsid w:val="000E45DE"/>
    <w:rsid w:val="000E4B26"/>
    <w:rsid w:val="000E6E21"/>
    <w:rsid w:val="000E79D7"/>
    <w:rsid w:val="000F1A1C"/>
    <w:rsid w:val="000F2CBE"/>
    <w:rsid w:val="000F2EEA"/>
    <w:rsid w:val="000F2F90"/>
    <w:rsid w:val="000F3A59"/>
    <w:rsid w:val="000F7BAE"/>
    <w:rsid w:val="00101359"/>
    <w:rsid w:val="0010164B"/>
    <w:rsid w:val="00101C2F"/>
    <w:rsid w:val="00101E02"/>
    <w:rsid w:val="00103095"/>
    <w:rsid w:val="001061CF"/>
    <w:rsid w:val="00106E37"/>
    <w:rsid w:val="00106EA7"/>
    <w:rsid w:val="00106FF1"/>
    <w:rsid w:val="001073F9"/>
    <w:rsid w:val="00110339"/>
    <w:rsid w:val="0011188A"/>
    <w:rsid w:val="00111AA4"/>
    <w:rsid w:val="0011219A"/>
    <w:rsid w:val="001125CC"/>
    <w:rsid w:val="00112D49"/>
    <w:rsid w:val="00114381"/>
    <w:rsid w:val="001158CB"/>
    <w:rsid w:val="00115F29"/>
    <w:rsid w:val="001160D4"/>
    <w:rsid w:val="0011754B"/>
    <w:rsid w:val="001204E8"/>
    <w:rsid w:val="001217B2"/>
    <w:rsid w:val="001219B1"/>
    <w:rsid w:val="00121FFB"/>
    <w:rsid w:val="0012379A"/>
    <w:rsid w:val="001245D4"/>
    <w:rsid w:val="00126C8E"/>
    <w:rsid w:val="00126EC0"/>
    <w:rsid w:val="00131DF3"/>
    <w:rsid w:val="00132496"/>
    <w:rsid w:val="00132E33"/>
    <w:rsid w:val="00133364"/>
    <w:rsid w:val="00133F43"/>
    <w:rsid w:val="0013633D"/>
    <w:rsid w:val="00136663"/>
    <w:rsid w:val="0013742B"/>
    <w:rsid w:val="001413C6"/>
    <w:rsid w:val="001417B0"/>
    <w:rsid w:val="00143678"/>
    <w:rsid w:val="00143BEF"/>
    <w:rsid w:val="00144FAB"/>
    <w:rsid w:val="00146256"/>
    <w:rsid w:val="001469E8"/>
    <w:rsid w:val="00150D30"/>
    <w:rsid w:val="00153E74"/>
    <w:rsid w:val="001541DF"/>
    <w:rsid w:val="00155CEE"/>
    <w:rsid w:val="00155DBE"/>
    <w:rsid w:val="00155FEB"/>
    <w:rsid w:val="00156975"/>
    <w:rsid w:val="00160D4C"/>
    <w:rsid w:val="001643E8"/>
    <w:rsid w:val="001669D2"/>
    <w:rsid w:val="00167FBD"/>
    <w:rsid w:val="00167FCF"/>
    <w:rsid w:val="001752EB"/>
    <w:rsid w:val="001756AA"/>
    <w:rsid w:val="00177E0B"/>
    <w:rsid w:val="00180A26"/>
    <w:rsid w:val="001820F3"/>
    <w:rsid w:val="00183063"/>
    <w:rsid w:val="00183602"/>
    <w:rsid w:val="0018397F"/>
    <w:rsid w:val="001846A3"/>
    <w:rsid w:val="0019034D"/>
    <w:rsid w:val="0019089D"/>
    <w:rsid w:val="001915B6"/>
    <w:rsid w:val="0019166A"/>
    <w:rsid w:val="001927AC"/>
    <w:rsid w:val="00193FA6"/>
    <w:rsid w:val="0019401C"/>
    <w:rsid w:val="001943D3"/>
    <w:rsid w:val="00195293"/>
    <w:rsid w:val="001954E2"/>
    <w:rsid w:val="001A019D"/>
    <w:rsid w:val="001A155E"/>
    <w:rsid w:val="001A193E"/>
    <w:rsid w:val="001A212F"/>
    <w:rsid w:val="001A42B8"/>
    <w:rsid w:val="001A4B26"/>
    <w:rsid w:val="001A6028"/>
    <w:rsid w:val="001A605C"/>
    <w:rsid w:val="001A6C77"/>
    <w:rsid w:val="001B0324"/>
    <w:rsid w:val="001B0699"/>
    <w:rsid w:val="001B07E2"/>
    <w:rsid w:val="001B3418"/>
    <w:rsid w:val="001B3427"/>
    <w:rsid w:val="001B3635"/>
    <w:rsid w:val="001B3A66"/>
    <w:rsid w:val="001B4788"/>
    <w:rsid w:val="001B62CF"/>
    <w:rsid w:val="001B692F"/>
    <w:rsid w:val="001B71C2"/>
    <w:rsid w:val="001C0354"/>
    <w:rsid w:val="001C2030"/>
    <w:rsid w:val="001C2922"/>
    <w:rsid w:val="001C7593"/>
    <w:rsid w:val="001C7BBA"/>
    <w:rsid w:val="001D0F35"/>
    <w:rsid w:val="001D1E53"/>
    <w:rsid w:val="001D1F0D"/>
    <w:rsid w:val="001D55FF"/>
    <w:rsid w:val="001D591D"/>
    <w:rsid w:val="001D5B02"/>
    <w:rsid w:val="001D6305"/>
    <w:rsid w:val="001D6347"/>
    <w:rsid w:val="001D6491"/>
    <w:rsid w:val="001D7951"/>
    <w:rsid w:val="001D7DA7"/>
    <w:rsid w:val="001E1013"/>
    <w:rsid w:val="001E14B3"/>
    <w:rsid w:val="001E18DA"/>
    <w:rsid w:val="001E19C6"/>
    <w:rsid w:val="001E5465"/>
    <w:rsid w:val="001E67B0"/>
    <w:rsid w:val="001E68F2"/>
    <w:rsid w:val="001F20E3"/>
    <w:rsid w:val="001F2745"/>
    <w:rsid w:val="001F2900"/>
    <w:rsid w:val="001F29E5"/>
    <w:rsid w:val="001F2A93"/>
    <w:rsid w:val="001F32AF"/>
    <w:rsid w:val="001F3EBE"/>
    <w:rsid w:val="001F57B3"/>
    <w:rsid w:val="001F62B3"/>
    <w:rsid w:val="001F6BC7"/>
    <w:rsid w:val="00200F6D"/>
    <w:rsid w:val="00201173"/>
    <w:rsid w:val="002021B9"/>
    <w:rsid w:val="0020298C"/>
    <w:rsid w:val="00203B46"/>
    <w:rsid w:val="002041AA"/>
    <w:rsid w:val="00206BAF"/>
    <w:rsid w:val="00206D9C"/>
    <w:rsid w:val="00206F35"/>
    <w:rsid w:val="00210DF0"/>
    <w:rsid w:val="0021192C"/>
    <w:rsid w:val="002121E9"/>
    <w:rsid w:val="00212C9D"/>
    <w:rsid w:val="00213FCE"/>
    <w:rsid w:val="00214B2D"/>
    <w:rsid w:val="002160FF"/>
    <w:rsid w:val="0021615C"/>
    <w:rsid w:val="002172E5"/>
    <w:rsid w:val="00217708"/>
    <w:rsid w:val="00217A66"/>
    <w:rsid w:val="00221246"/>
    <w:rsid w:val="00221284"/>
    <w:rsid w:val="00221B58"/>
    <w:rsid w:val="0022248B"/>
    <w:rsid w:val="00222D38"/>
    <w:rsid w:val="0022301D"/>
    <w:rsid w:val="00223442"/>
    <w:rsid w:val="00224A93"/>
    <w:rsid w:val="00224E75"/>
    <w:rsid w:val="00224F52"/>
    <w:rsid w:val="002258F6"/>
    <w:rsid w:val="00225B0E"/>
    <w:rsid w:val="00225F64"/>
    <w:rsid w:val="00227507"/>
    <w:rsid w:val="00227E99"/>
    <w:rsid w:val="00230EFE"/>
    <w:rsid w:val="00231789"/>
    <w:rsid w:val="0023254B"/>
    <w:rsid w:val="002348B9"/>
    <w:rsid w:val="002367FD"/>
    <w:rsid w:val="00236995"/>
    <w:rsid w:val="00237C8F"/>
    <w:rsid w:val="00241A93"/>
    <w:rsid w:val="002428B1"/>
    <w:rsid w:val="00242D60"/>
    <w:rsid w:val="00243E2A"/>
    <w:rsid w:val="0024434E"/>
    <w:rsid w:val="00245C42"/>
    <w:rsid w:val="00245D3C"/>
    <w:rsid w:val="002465B0"/>
    <w:rsid w:val="00246BC8"/>
    <w:rsid w:val="002471FC"/>
    <w:rsid w:val="00250416"/>
    <w:rsid w:val="00250587"/>
    <w:rsid w:val="00250B18"/>
    <w:rsid w:val="00250CDE"/>
    <w:rsid w:val="00253E96"/>
    <w:rsid w:val="0025424B"/>
    <w:rsid w:val="00255421"/>
    <w:rsid w:val="00255442"/>
    <w:rsid w:val="002567ED"/>
    <w:rsid w:val="00261161"/>
    <w:rsid w:val="0026125C"/>
    <w:rsid w:val="00262686"/>
    <w:rsid w:val="002643E1"/>
    <w:rsid w:val="0026550D"/>
    <w:rsid w:val="002656A1"/>
    <w:rsid w:val="00265CD0"/>
    <w:rsid w:val="00267762"/>
    <w:rsid w:val="0027013B"/>
    <w:rsid w:val="002725B0"/>
    <w:rsid w:val="00272CEE"/>
    <w:rsid w:val="00274AFB"/>
    <w:rsid w:val="00276C6A"/>
    <w:rsid w:val="00276D40"/>
    <w:rsid w:val="00277036"/>
    <w:rsid w:val="00277686"/>
    <w:rsid w:val="00277A2C"/>
    <w:rsid w:val="00280840"/>
    <w:rsid w:val="0028113F"/>
    <w:rsid w:val="0028187C"/>
    <w:rsid w:val="00282D73"/>
    <w:rsid w:val="00283573"/>
    <w:rsid w:val="00283574"/>
    <w:rsid w:val="00285317"/>
    <w:rsid w:val="002854AA"/>
    <w:rsid w:val="002855F6"/>
    <w:rsid w:val="0028726C"/>
    <w:rsid w:val="002878FD"/>
    <w:rsid w:val="002903A4"/>
    <w:rsid w:val="002907D1"/>
    <w:rsid w:val="002913FE"/>
    <w:rsid w:val="00293395"/>
    <w:rsid w:val="00293C5D"/>
    <w:rsid w:val="00293EAF"/>
    <w:rsid w:val="00294BB1"/>
    <w:rsid w:val="00294E8C"/>
    <w:rsid w:val="0029596B"/>
    <w:rsid w:val="00296B5E"/>
    <w:rsid w:val="002978A4"/>
    <w:rsid w:val="00297E9F"/>
    <w:rsid w:val="002A013D"/>
    <w:rsid w:val="002A03BC"/>
    <w:rsid w:val="002A08BE"/>
    <w:rsid w:val="002A12A9"/>
    <w:rsid w:val="002A2E2C"/>
    <w:rsid w:val="002A3008"/>
    <w:rsid w:val="002A5461"/>
    <w:rsid w:val="002A557B"/>
    <w:rsid w:val="002A565C"/>
    <w:rsid w:val="002A6D88"/>
    <w:rsid w:val="002A7637"/>
    <w:rsid w:val="002A7AE1"/>
    <w:rsid w:val="002B1372"/>
    <w:rsid w:val="002B2C63"/>
    <w:rsid w:val="002B2E58"/>
    <w:rsid w:val="002B37C4"/>
    <w:rsid w:val="002B3FF8"/>
    <w:rsid w:val="002B4040"/>
    <w:rsid w:val="002B47AD"/>
    <w:rsid w:val="002B684E"/>
    <w:rsid w:val="002C1813"/>
    <w:rsid w:val="002C1C27"/>
    <w:rsid w:val="002C2372"/>
    <w:rsid w:val="002C262D"/>
    <w:rsid w:val="002C4831"/>
    <w:rsid w:val="002C5906"/>
    <w:rsid w:val="002C7E6A"/>
    <w:rsid w:val="002D0B00"/>
    <w:rsid w:val="002D20F4"/>
    <w:rsid w:val="002D273D"/>
    <w:rsid w:val="002D27E3"/>
    <w:rsid w:val="002D2900"/>
    <w:rsid w:val="002D575D"/>
    <w:rsid w:val="002D5C1D"/>
    <w:rsid w:val="002D61A7"/>
    <w:rsid w:val="002D76A3"/>
    <w:rsid w:val="002E00EB"/>
    <w:rsid w:val="002E1AA4"/>
    <w:rsid w:val="002E2FCD"/>
    <w:rsid w:val="002E3675"/>
    <w:rsid w:val="002E4075"/>
    <w:rsid w:val="002E4FCE"/>
    <w:rsid w:val="002E5945"/>
    <w:rsid w:val="002E6368"/>
    <w:rsid w:val="002E6DA4"/>
    <w:rsid w:val="002E70A2"/>
    <w:rsid w:val="002F038B"/>
    <w:rsid w:val="002F143C"/>
    <w:rsid w:val="002F2B93"/>
    <w:rsid w:val="002F46E9"/>
    <w:rsid w:val="002F69D5"/>
    <w:rsid w:val="002F700E"/>
    <w:rsid w:val="002F7558"/>
    <w:rsid w:val="003001C2"/>
    <w:rsid w:val="00300A7E"/>
    <w:rsid w:val="00301901"/>
    <w:rsid w:val="00303754"/>
    <w:rsid w:val="0030412D"/>
    <w:rsid w:val="00304232"/>
    <w:rsid w:val="003062AE"/>
    <w:rsid w:val="00306671"/>
    <w:rsid w:val="0030671F"/>
    <w:rsid w:val="00310FF9"/>
    <w:rsid w:val="00311350"/>
    <w:rsid w:val="00311D55"/>
    <w:rsid w:val="003122FF"/>
    <w:rsid w:val="00312E75"/>
    <w:rsid w:val="00314B74"/>
    <w:rsid w:val="00315D13"/>
    <w:rsid w:val="00315E0C"/>
    <w:rsid w:val="00316F8C"/>
    <w:rsid w:val="0031765C"/>
    <w:rsid w:val="00320BC4"/>
    <w:rsid w:val="0032182D"/>
    <w:rsid w:val="00323419"/>
    <w:rsid w:val="00331003"/>
    <w:rsid w:val="0033276E"/>
    <w:rsid w:val="00332A96"/>
    <w:rsid w:val="0033467B"/>
    <w:rsid w:val="00334D00"/>
    <w:rsid w:val="00334FF9"/>
    <w:rsid w:val="00336069"/>
    <w:rsid w:val="00336779"/>
    <w:rsid w:val="00336D64"/>
    <w:rsid w:val="00337308"/>
    <w:rsid w:val="0033793D"/>
    <w:rsid w:val="00337B36"/>
    <w:rsid w:val="0034094A"/>
    <w:rsid w:val="0034095A"/>
    <w:rsid w:val="00342AEE"/>
    <w:rsid w:val="003440AA"/>
    <w:rsid w:val="00346879"/>
    <w:rsid w:val="003477A2"/>
    <w:rsid w:val="00347D86"/>
    <w:rsid w:val="003504A1"/>
    <w:rsid w:val="00351383"/>
    <w:rsid w:val="00354857"/>
    <w:rsid w:val="00356E4F"/>
    <w:rsid w:val="0036006E"/>
    <w:rsid w:val="00364D7A"/>
    <w:rsid w:val="003657A2"/>
    <w:rsid w:val="00366364"/>
    <w:rsid w:val="003667E6"/>
    <w:rsid w:val="00366C4F"/>
    <w:rsid w:val="00367DF5"/>
    <w:rsid w:val="0037013B"/>
    <w:rsid w:val="003703FB"/>
    <w:rsid w:val="003706A6"/>
    <w:rsid w:val="00372532"/>
    <w:rsid w:val="00377262"/>
    <w:rsid w:val="003775DF"/>
    <w:rsid w:val="003776A1"/>
    <w:rsid w:val="0037781C"/>
    <w:rsid w:val="0038012C"/>
    <w:rsid w:val="003830E9"/>
    <w:rsid w:val="00383FCC"/>
    <w:rsid w:val="00385D47"/>
    <w:rsid w:val="00386150"/>
    <w:rsid w:val="0038654E"/>
    <w:rsid w:val="00386646"/>
    <w:rsid w:val="00386752"/>
    <w:rsid w:val="00390CDB"/>
    <w:rsid w:val="00390D54"/>
    <w:rsid w:val="00391986"/>
    <w:rsid w:val="003931E7"/>
    <w:rsid w:val="0039390B"/>
    <w:rsid w:val="003949C2"/>
    <w:rsid w:val="00394E6E"/>
    <w:rsid w:val="00396263"/>
    <w:rsid w:val="00396C59"/>
    <w:rsid w:val="00397528"/>
    <w:rsid w:val="00397745"/>
    <w:rsid w:val="00397821"/>
    <w:rsid w:val="003A0334"/>
    <w:rsid w:val="003A2208"/>
    <w:rsid w:val="003A3CAD"/>
    <w:rsid w:val="003A411F"/>
    <w:rsid w:val="003A5183"/>
    <w:rsid w:val="003A738C"/>
    <w:rsid w:val="003B0A4E"/>
    <w:rsid w:val="003B0CF0"/>
    <w:rsid w:val="003B2660"/>
    <w:rsid w:val="003B38C0"/>
    <w:rsid w:val="003B4E80"/>
    <w:rsid w:val="003B5426"/>
    <w:rsid w:val="003B5518"/>
    <w:rsid w:val="003B6000"/>
    <w:rsid w:val="003B6125"/>
    <w:rsid w:val="003B67F8"/>
    <w:rsid w:val="003B6981"/>
    <w:rsid w:val="003C0D85"/>
    <w:rsid w:val="003C0EEB"/>
    <w:rsid w:val="003C1EA7"/>
    <w:rsid w:val="003C3A0F"/>
    <w:rsid w:val="003C5D5C"/>
    <w:rsid w:val="003C6FC8"/>
    <w:rsid w:val="003D1C28"/>
    <w:rsid w:val="003D3A66"/>
    <w:rsid w:val="003D3DF1"/>
    <w:rsid w:val="003D485A"/>
    <w:rsid w:val="003D73F1"/>
    <w:rsid w:val="003D79D6"/>
    <w:rsid w:val="003E0186"/>
    <w:rsid w:val="003E06F6"/>
    <w:rsid w:val="003E08D8"/>
    <w:rsid w:val="003E281D"/>
    <w:rsid w:val="003E2E17"/>
    <w:rsid w:val="003E3123"/>
    <w:rsid w:val="003E361F"/>
    <w:rsid w:val="003E3975"/>
    <w:rsid w:val="003E48C3"/>
    <w:rsid w:val="003E5573"/>
    <w:rsid w:val="003E7197"/>
    <w:rsid w:val="003E71E5"/>
    <w:rsid w:val="003F0E58"/>
    <w:rsid w:val="003F3B58"/>
    <w:rsid w:val="003F3D7B"/>
    <w:rsid w:val="003F5DCC"/>
    <w:rsid w:val="003F7B05"/>
    <w:rsid w:val="003F7FDB"/>
    <w:rsid w:val="004000AB"/>
    <w:rsid w:val="004019BE"/>
    <w:rsid w:val="00402094"/>
    <w:rsid w:val="004024C9"/>
    <w:rsid w:val="00403ABF"/>
    <w:rsid w:val="004042C1"/>
    <w:rsid w:val="0040493B"/>
    <w:rsid w:val="00404940"/>
    <w:rsid w:val="00404DA0"/>
    <w:rsid w:val="00405901"/>
    <w:rsid w:val="00406528"/>
    <w:rsid w:val="00410177"/>
    <w:rsid w:val="004103E0"/>
    <w:rsid w:val="00410474"/>
    <w:rsid w:val="00410934"/>
    <w:rsid w:val="0041094B"/>
    <w:rsid w:val="004112FC"/>
    <w:rsid w:val="004115A9"/>
    <w:rsid w:val="00412607"/>
    <w:rsid w:val="004136CC"/>
    <w:rsid w:val="00413B70"/>
    <w:rsid w:val="0041626E"/>
    <w:rsid w:val="00416665"/>
    <w:rsid w:val="00416BBF"/>
    <w:rsid w:val="0042012E"/>
    <w:rsid w:val="00423199"/>
    <w:rsid w:val="00424E68"/>
    <w:rsid w:val="00426812"/>
    <w:rsid w:val="00426E64"/>
    <w:rsid w:val="004271FC"/>
    <w:rsid w:val="00427C80"/>
    <w:rsid w:val="00432C82"/>
    <w:rsid w:val="00432F88"/>
    <w:rsid w:val="00433060"/>
    <w:rsid w:val="00433A45"/>
    <w:rsid w:val="00434613"/>
    <w:rsid w:val="0043758D"/>
    <w:rsid w:val="00437B3B"/>
    <w:rsid w:val="00437EEA"/>
    <w:rsid w:val="0044036E"/>
    <w:rsid w:val="0044057D"/>
    <w:rsid w:val="00440C37"/>
    <w:rsid w:val="00442F36"/>
    <w:rsid w:val="00443E71"/>
    <w:rsid w:val="004504EE"/>
    <w:rsid w:val="00450E6C"/>
    <w:rsid w:val="00451636"/>
    <w:rsid w:val="004527B5"/>
    <w:rsid w:val="00455C95"/>
    <w:rsid w:val="00455E83"/>
    <w:rsid w:val="0045684B"/>
    <w:rsid w:val="00456C9F"/>
    <w:rsid w:val="0045700D"/>
    <w:rsid w:val="00457AAD"/>
    <w:rsid w:val="00460FFC"/>
    <w:rsid w:val="0046212A"/>
    <w:rsid w:val="00462F9F"/>
    <w:rsid w:val="004634F2"/>
    <w:rsid w:val="0046423B"/>
    <w:rsid w:val="00464C02"/>
    <w:rsid w:val="00466E57"/>
    <w:rsid w:val="00466EB0"/>
    <w:rsid w:val="00470315"/>
    <w:rsid w:val="00470744"/>
    <w:rsid w:val="00473086"/>
    <w:rsid w:val="00473CBE"/>
    <w:rsid w:val="004745D2"/>
    <w:rsid w:val="004754CA"/>
    <w:rsid w:val="00475618"/>
    <w:rsid w:val="004761A1"/>
    <w:rsid w:val="0047687C"/>
    <w:rsid w:val="00477121"/>
    <w:rsid w:val="00480E5D"/>
    <w:rsid w:val="0048196C"/>
    <w:rsid w:val="00481CDF"/>
    <w:rsid w:val="004824D8"/>
    <w:rsid w:val="0048319A"/>
    <w:rsid w:val="004859E2"/>
    <w:rsid w:val="00486F02"/>
    <w:rsid w:val="004904B2"/>
    <w:rsid w:val="00492B05"/>
    <w:rsid w:val="00494C10"/>
    <w:rsid w:val="004967F4"/>
    <w:rsid w:val="004972B3"/>
    <w:rsid w:val="00497658"/>
    <w:rsid w:val="0049798E"/>
    <w:rsid w:val="004A03CC"/>
    <w:rsid w:val="004A19E0"/>
    <w:rsid w:val="004A1C71"/>
    <w:rsid w:val="004A2849"/>
    <w:rsid w:val="004A311E"/>
    <w:rsid w:val="004A4D5A"/>
    <w:rsid w:val="004A4E39"/>
    <w:rsid w:val="004A5092"/>
    <w:rsid w:val="004A5340"/>
    <w:rsid w:val="004A6FE3"/>
    <w:rsid w:val="004A709D"/>
    <w:rsid w:val="004B0200"/>
    <w:rsid w:val="004B260F"/>
    <w:rsid w:val="004B2939"/>
    <w:rsid w:val="004B2BE5"/>
    <w:rsid w:val="004B3030"/>
    <w:rsid w:val="004B33A3"/>
    <w:rsid w:val="004B482A"/>
    <w:rsid w:val="004B5565"/>
    <w:rsid w:val="004B5A03"/>
    <w:rsid w:val="004B6953"/>
    <w:rsid w:val="004B6C92"/>
    <w:rsid w:val="004C1618"/>
    <w:rsid w:val="004C297B"/>
    <w:rsid w:val="004C307B"/>
    <w:rsid w:val="004C78F8"/>
    <w:rsid w:val="004D1A82"/>
    <w:rsid w:val="004D3569"/>
    <w:rsid w:val="004D7417"/>
    <w:rsid w:val="004D7BEB"/>
    <w:rsid w:val="004D7C51"/>
    <w:rsid w:val="004E03A1"/>
    <w:rsid w:val="004E088A"/>
    <w:rsid w:val="004E0DA2"/>
    <w:rsid w:val="004E40F2"/>
    <w:rsid w:val="004E5051"/>
    <w:rsid w:val="004E63B0"/>
    <w:rsid w:val="004E6F8F"/>
    <w:rsid w:val="004F1BAE"/>
    <w:rsid w:val="004F2712"/>
    <w:rsid w:val="004F3E07"/>
    <w:rsid w:val="004F475B"/>
    <w:rsid w:val="004F526F"/>
    <w:rsid w:val="004F6A0C"/>
    <w:rsid w:val="00500741"/>
    <w:rsid w:val="0050089B"/>
    <w:rsid w:val="00503C24"/>
    <w:rsid w:val="00504AFC"/>
    <w:rsid w:val="00507406"/>
    <w:rsid w:val="00507D85"/>
    <w:rsid w:val="0051165E"/>
    <w:rsid w:val="00512699"/>
    <w:rsid w:val="00512FDB"/>
    <w:rsid w:val="00513579"/>
    <w:rsid w:val="00515688"/>
    <w:rsid w:val="005176EC"/>
    <w:rsid w:val="005204EC"/>
    <w:rsid w:val="00521892"/>
    <w:rsid w:val="005226D1"/>
    <w:rsid w:val="0052374B"/>
    <w:rsid w:val="00524341"/>
    <w:rsid w:val="00525267"/>
    <w:rsid w:val="00525489"/>
    <w:rsid w:val="005256BC"/>
    <w:rsid w:val="005300C5"/>
    <w:rsid w:val="00530C93"/>
    <w:rsid w:val="00530E30"/>
    <w:rsid w:val="005359ED"/>
    <w:rsid w:val="00535C1B"/>
    <w:rsid w:val="005372C8"/>
    <w:rsid w:val="00540675"/>
    <w:rsid w:val="00541D33"/>
    <w:rsid w:val="005424A4"/>
    <w:rsid w:val="00543042"/>
    <w:rsid w:val="00543056"/>
    <w:rsid w:val="00543744"/>
    <w:rsid w:val="00543D4B"/>
    <w:rsid w:val="00543DD4"/>
    <w:rsid w:val="00544107"/>
    <w:rsid w:val="0054416B"/>
    <w:rsid w:val="0054433B"/>
    <w:rsid w:val="00546839"/>
    <w:rsid w:val="00546E8A"/>
    <w:rsid w:val="00550BDF"/>
    <w:rsid w:val="00550D3B"/>
    <w:rsid w:val="0055166A"/>
    <w:rsid w:val="00554AB0"/>
    <w:rsid w:val="005552F1"/>
    <w:rsid w:val="005557D3"/>
    <w:rsid w:val="00560E63"/>
    <w:rsid w:val="00561110"/>
    <w:rsid w:val="00564811"/>
    <w:rsid w:val="00564CDB"/>
    <w:rsid w:val="00565AE8"/>
    <w:rsid w:val="00566E77"/>
    <w:rsid w:val="00567505"/>
    <w:rsid w:val="00567D7C"/>
    <w:rsid w:val="005751B9"/>
    <w:rsid w:val="00575805"/>
    <w:rsid w:val="00575F1F"/>
    <w:rsid w:val="0058549E"/>
    <w:rsid w:val="00586EF0"/>
    <w:rsid w:val="0059005C"/>
    <w:rsid w:val="005940E5"/>
    <w:rsid w:val="00594575"/>
    <w:rsid w:val="005947A9"/>
    <w:rsid w:val="00594EF2"/>
    <w:rsid w:val="00594F6F"/>
    <w:rsid w:val="00595954"/>
    <w:rsid w:val="00595E6F"/>
    <w:rsid w:val="00597DFE"/>
    <w:rsid w:val="005A0377"/>
    <w:rsid w:val="005A0DFB"/>
    <w:rsid w:val="005A32F2"/>
    <w:rsid w:val="005A364B"/>
    <w:rsid w:val="005A36D8"/>
    <w:rsid w:val="005A4264"/>
    <w:rsid w:val="005A53AF"/>
    <w:rsid w:val="005A581C"/>
    <w:rsid w:val="005A5FDD"/>
    <w:rsid w:val="005B2B7D"/>
    <w:rsid w:val="005B40CD"/>
    <w:rsid w:val="005B47A3"/>
    <w:rsid w:val="005B5B09"/>
    <w:rsid w:val="005B6D33"/>
    <w:rsid w:val="005C0369"/>
    <w:rsid w:val="005C13FF"/>
    <w:rsid w:val="005C3042"/>
    <w:rsid w:val="005C3F76"/>
    <w:rsid w:val="005C42CE"/>
    <w:rsid w:val="005C602E"/>
    <w:rsid w:val="005C6118"/>
    <w:rsid w:val="005C6391"/>
    <w:rsid w:val="005D085D"/>
    <w:rsid w:val="005D0C2B"/>
    <w:rsid w:val="005D10BF"/>
    <w:rsid w:val="005D1BFF"/>
    <w:rsid w:val="005D22F2"/>
    <w:rsid w:val="005D2388"/>
    <w:rsid w:val="005D2F16"/>
    <w:rsid w:val="005D34C6"/>
    <w:rsid w:val="005D488A"/>
    <w:rsid w:val="005D68DD"/>
    <w:rsid w:val="005E1446"/>
    <w:rsid w:val="005E3DF6"/>
    <w:rsid w:val="005E4F7B"/>
    <w:rsid w:val="005E58E2"/>
    <w:rsid w:val="005E62B6"/>
    <w:rsid w:val="005E764C"/>
    <w:rsid w:val="005E76C1"/>
    <w:rsid w:val="005E7786"/>
    <w:rsid w:val="005E7C6E"/>
    <w:rsid w:val="005E7C93"/>
    <w:rsid w:val="005F196F"/>
    <w:rsid w:val="005F22C2"/>
    <w:rsid w:val="005F2B9C"/>
    <w:rsid w:val="005F30D5"/>
    <w:rsid w:val="005F3366"/>
    <w:rsid w:val="005F465C"/>
    <w:rsid w:val="005F490E"/>
    <w:rsid w:val="005F537C"/>
    <w:rsid w:val="005F5BCD"/>
    <w:rsid w:val="005F79F0"/>
    <w:rsid w:val="00602244"/>
    <w:rsid w:val="006033E4"/>
    <w:rsid w:val="00603CE5"/>
    <w:rsid w:val="006042EE"/>
    <w:rsid w:val="00604899"/>
    <w:rsid w:val="00604B9F"/>
    <w:rsid w:val="00604C08"/>
    <w:rsid w:val="00605603"/>
    <w:rsid w:val="00606CAC"/>
    <w:rsid w:val="00610557"/>
    <w:rsid w:val="00610985"/>
    <w:rsid w:val="00611D40"/>
    <w:rsid w:val="006129FC"/>
    <w:rsid w:val="0061591A"/>
    <w:rsid w:val="0061593E"/>
    <w:rsid w:val="006163F8"/>
    <w:rsid w:val="00616C71"/>
    <w:rsid w:val="00616EA6"/>
    <w:rsid w:val="00620E29"/>
    <w:rsid w:val="00620F3C"/>
    <w:rsid w:val="0063058C"/>
    <w:rsid w:val="00631086"/>
    <w:rsid w:val="006312DB"/>
    <w:rsid w:val="00631C6C"/>
    <w:rsid w:val="0063426B"/>
    <w:rsid w:val="00634ED3"/>
    <w:rsid w:val="00635522"/>
    <w:rsid w:val="00636384"/>
    <w:rsid w:val="006407F4"/>
    <w:rsid w:val="00641028"/>
    <w:rsid w:val="00641A08"/>
    <w:rsid w:val="00642681"/>
    <w:rsid w:val="00647462"/>
    <w:rsid w:val="00647AE4"/>
    <w:rsid w:val="006501B5"/>
    <w:rsid w:val="0065354B"/>
    <w:rsid w:val="00654128"/>
    <w:rsid w:val="00662BAC"/>
    <w:rsid w:val="00662DEB"/>
    <w:rsid w:val="0066370F"/>
    <w:rsid w:val="0066479A"/>
    <w:rsid w:val="00665F93"/>
    <w:rsid w:val="00667F06"/>
    <w:rsid w:val="00671848"/>
    <w:rsid w:val="00672CF2"/>
    <w:rsid w:val="006744D2"/>
    <w:rsid w:val="00674C5B"/>
    <w:rsid w:val="00677BC5"/>
    <w:rsid w:val="00677C29"/>
    <w:rsid w:val="006803D7"/>
    <w:rsid w:val="006807C4"/>
    <w:rsid w:val="006815F0"/>
    <w:rsid w:val="00681C96"/>
    <w:rsid w:val="00684B61"/>
    <w:rsid w:val="00685ED7"/>
    <w:rsid w:val="00686FB7"/>
    <w:rsid w:val="006873C7"/>
    <w:rsid w:val="00687832"/>
    <w:rsid w:val="0069380B"/>
    <w:rsid w:val="0069513A"/>
    <w:rsid w:val="00696079"/>
    <w:rsid w:val="006971B8"/>
    <w:rsid w:val="006973FE"/>
    <w:rsid w:val="00697B4D"/>
    <w:rsid w:val="00697EE8"/>
    <w:rsid w:val="006A0B5E"/>
    <w:rsid w:val="006A13F7"/>
    <w:rsid w:val="006A1847"/>
    <w:rsid w:val="006A2E65"/>
    <w:rsid w:val="006A3F6A"/>
    <w:rsid w:val="006A4A05"/>
    <w:rsid w:val="006A77CA"/>
    <w:rsid w:val="006B175E"/>
    <w:rsid w:val="006B1B32"/>
    <w:rsid w:val="006B1B69"/>
    <w:rsid w:val="006B2EC7"/>
    <w:rsid w:val="006B34F5"/>
    <w:rsid w:val="006B5064"/>
    <w:rsid w:val="006B5A4E"/>
    <w:rsid w:val="006B5B67"/>
    <w:rsid w:val="006B5DB2"/>
    <w:rsid w:val="006B7E4D"/>
    <w:rsid w:val="006B7EC0"/>
    <w:rsid w:val="006C008F"/>
    <w:rsid w:val="006C0935"/>
    <w:rsid w:val="006C0A0F"/>
    <w:rsid w:val="006C118C"/>
    <w:rsid w:val="006C2189"/>
    <w:rsid w:val="006C2720"/>
    <w:rsid w:val="006C3B94"/>
    <w:rsid w:val="006C51AC"/>
    <w:rsid w:val="006D1EDB"/>
    <w:rsid w:val="006D2663"/>
    <w:rsid w:val="006D268F"/>
    <w:rsid w:val="006D27EF"/>
    <w:rsid w:val="006D4410"/>
    <w:rsid w:val="006D53D9"/>
    <w:rsid w:val="006E0026"/>
    <w:rsid w:val="006E08A8"/>
    <w:rsid w:val="006E4AC5"/>
    <w:rsid w:val="006E6F5F"/>
    <w:rsid w:val="006F5C87"/>
    <w:rsid w:val="006F7104"/>
    <w:rsid w:val="006F7321"/>
    <w:rsid w:val="006F7442"/>
    <w:rsid w:val="006F7C20"/>
    <w:rsid w:val="006F7ECD"/>
    <w:rsid w:val="00701501"/>
    <w:rsid w:val="00702EF6"/>
    <w:rsid w:val="00703ACC"/>
    <w:rsid w:val="00703B61"/>
    <w:rsid w:val="00704E6A"/>
    <w:rsid w:val="00705AF6"/>
    <w:rsid w:val="00706756"/>
    <w:rsid w:val="00707D60"/>
    <w:rsid w:val="00707D99"/>
    <w:rsid w:val="00711438"/>
    <w:rsid w:val="00712793"/>
    <w:rsid w:val="0071394A"/>
    <w:rsid w:val="00713EAB"/>
    <w:rsid w:val="0071498F"/>
    <w:rsid w:val="00717636"/>
    <w:rsid w:val="00720A1D"/>
    <w:rsid w:val="00720A51"/>
    <w:rsid w:val="00721760"/>
    <w:rsid w:val="007221EE"/>
    <w:rsid w:val="00724195"/>
    <w:rsid w:val="0072599B"/>
    <w:rsid w:val="00725A24"/>
    <w:rsid w:val="0072774A"/>
    <w:rsid w:val="00727788"/>
    <w:rsid w:val="0073286D"/>
    <w:rsid w:val="00733E45"/>
    <w:rsid w:val="00734330"/>
    <w:rsid w:val="00734520"/>
    <w:rsid w:val="007346DF"/>
    <w:rsid w:val="00734E25"/>
    <w:rsid w:val="00736471"/>
    <w:rsid w:val="00742073"/>
    <w:rsid w:val="0074316A"/>
    <w:rsid w:val="00743D58"/>
    <w:rsid w:val="0074468B"/>
    <w:rsid w:val="0074522A"/>
    <w:rsid w:val="007468DC"/>
    <w:rsid w:val="00750726"/>
    <w:rsid w:val="00750749"/>
    <w:rsid w:val="007507B4"/>
    <w:rsid w:val="007508EB"/>
    <w:rsid w:val="00755D41"/>
    <w:rsid w:val="007614F3"/>
    <w:rsid w:val="00761AB7"/>
    <w:rsid w:val="00762264"/>
    <w:rsid w:val="00762678"/>
    <w:rsid w:val="00762AF2"/>
    <w:rsid w:val="00764042"/>
    <w:rsid w:val="00764DC7"/>
    <w:rsid w:val="00766823"/>
    <w:rsid w:val="0077349E"/>
    <w:rsid w:val="007754C0"/>
    <w:rsid w:val="007754D3"/>
    <w:rsid w:val="007769B4"/>
    <w:rsid w:val="00777520"/>
    <w:rsid w:val="007800B0"/>
    <w:rsid w:val="00780711"/>
    <w:rsid w:val="007811C8"/>
    <w:rsid w:val="00782288"/>
    <w:rsid w:val="00783AE6"/>
    <w:rsid w:val="007840FC"/>
    <w:rsid w:val="007847CA"/>
    <w:rsid w:val="0078656C"/>
    <w:rsid w:val="00787F44"/>
    <w:rsid w:val="00790469"/>
    <w:rsid w:val="00790F8C"/>
    <w:rsid w:val="007949FB"/>
    <w:rsid w:val="00795362"/>
    <w:rsid w:val="00795E80"/>
    <w:rsid w:val="007975F1"/>
    <w:rsid w:val="007A112A"/>
    <w:rsid w:val="007A243E"/>
    <w:rsid w:val="007A34B3"/>
    <w:rsid w:val="007A4453"/>
    <w:rsid w:val="007A5B87"/>
    <w:rsid w:val="007A5C73"/>
    <w:rsid w:val="007A6243"/>
    <w:rsid w:val="007A7B59"/>
    <w:rsid w:val="007B0CD1"/>
    <w:rsid w:val="007B11EC"/>
    <w:rsid w:val="007B1680"/>
    <w:rsid w:val="007B4EEC"/>
    <w:rsid w:val="007B5309"/>
    <w:rsid w:val="007B56EC"/>
    <w:rsid w:val="007B5A4F"/>
    <w:rsid w:val="007B7E83"/>
    <w:rsid w:val="007C0E42"/>
    <w:rsid w:val="007C1F67"/>
    <w:rsid w:val="007C24B4"/>
    <w:rsid w:val="007C25D5"/>
    <w:rsid w:val="007C3503"/>
    <w:rsid w:val="007C3790"/>
    <w:rsid w:val="007C3BCF"/>
    <w:rsid w:val="007C509C"/>
    <w:rsid w:val="007C627F"/>
    <w:rsid w:val="007C6380"/>
    <w:rsid w:val="007C74B7"/>
    <w:rsid w:val="007D052D"/>
    <w:rsid w:val="007D1C30"/>
    <w:rsid w:val="007D1FDF"/>
    <w:rsid w:val="007D214D"/>
    <w:rsid w:val="007D23E0"/>
    <w:rsid w:val="007D320F"/>
    <w:rsid w:val="007D5157"/>
    <w:rsid w:val="007D548D"/>
    <w:rsid w:val="007D5B54"/>
    <w:rsid w:val="007D625D"/>
    <w:rsid w:val="007E40B7"/>
    <w:rsid w:val="007E50E5"/>
    <w:rsid w:val="007E58F7"/>
    <w:rsid w:val="007E6C60"/>
    <w:rsid w:val="007E7484"/>
    <w:rsid w:val="007F1386"/>
    <w:rsid w:val="007F21FC"/>
    <w:rsid w:val="007F2735"/>
    <w:rsid w:val="007F2DA2"/>
    <w:rsid w:val="007F33FC"/>
    <w:rsid w:val="007F7851"/>
    <w:rsid w:val="00801291"/>
    <w:rsid w:val="008018BE"/>
    <w:rsid w:val="00803C7B"/>
    <w:rsid w:val="00805F91"/>
    <w:rsid w:val="008067DA"/>
    <w:rsid w:val="0080771D"/>
    <w:rsid w:val="008104FA"/>
    <w:rsid w:val="008113CC"/>
    <w:rsid w:val="008129F8"/>
    <w:rsid w:val="00812F15"/>
    <w:rsid w:val="008132AE"/>
    <w:rsid w:val="008138A6"/>
    <w:rsid w:val="00815BD0"/>
    <w:rsid w:val="008161DE"/>
    <w:rsid w:val="008168D3"/>
    <w:rsid w:val="008202DD"/>
    <w:rsid w:val="00821699"/>
    <w:rsid w:val="00821A33"/>
    <w:rsid w:val="008245FD"/>
    <w:rsid w:val="0082789C"/>
    <w:rsid w:val="00827942"/>
    <w:rsid w:val="00827D71"/>
    <w:rsid w:val="00830B23"/>
    <w:rsid w:val="0083324B"/>
    <w:rsid w:val="00835419"/>
    <w:rsid w:val="008377F3"/>
    <w:rsid w:val="008379BA"/>
    <w:rsid w:val="0084059F"/>
    <w:rsid w:val="0084074B"/>
    <w:rsid w:val="00841833"/>
    <w:rsid w:val="00842505"/>
    <w:rsid w:val="00842779"/>
    <w:rsid w:val="00843796"/>
    <w:rsid w:val="00844522"/>
    <w:rsid w:val="00844A86"/>
    <w:rsid w:val="00844C52"/>
    <w:rsid w:val="00845C91"/>
    <w:rsid w:val="00847AEC"/>
    <w:rsid w:val="00847F92"/>
    <w:rsid w:val="008501EA"/>
    <w:rsid w:val="00850CF8"/>
    <w:rsid w:val="00852147"/>
    <w:rsid w:val="00854A5C"/>
    <w:rsid w:val="00856F1D"/>
    <w:rsid w:val="008603F8"/>
    <w:rsid w:val="00860D79"/>
    <w:rsid w:val="008614E0"/>
    <w:rsid w:val="00861A91"/>
    <w:rsid w:val="00862C27"/>
    <w:rsid w:val="00863C45"/>
    <w:rsid w:val="0086404F"/>
    <w:rsid w:val="00866449"/>
    <w:rsid w:val="00867047"/>
    <w:rsid w:val="00867C38"/>
    <w:rsid w:val="0087002C"/>
    <w:rsid w:val="00872174"/>
    <w:rsid w:val="008721A3"/>
    <w:rsid w:val="0087361D"/>
    <w:rsid w:val="00875360"/>
    <w:rsid w:val="00876615"/>
    <w:rsid w:val="00877B85"/>
    <w:rsid w:val="00881EC2"/>
    <w:rsid w:val="00882C67"/>
    <w:rsid w:val="00882F5D"/>
    <w:rsid w:val="0088377D"/>
    <w:rsid w:val="0088671E"/>
    <w:rsid w:val="00887650"/>
    <w:rsid w:val="00887B57"/>
    <w:rsid w:val="00890069"/>
    <w:rsid w:val="00890560"/>
    <w:rsid w:val="00890E5B"/>
    <w:rsid w:val="008917C5"/>
    <w:rsid w:val="00891908"/>
    <w:rsid w:val="00892245"/>
    <w:rsid w:val="00892380"/>
    <w:rsid w:val="00893B74"/>
    <w:rsid w:val="00893CDE"/>
    <w:rsid w:val="0089499C"/>
    <w:rsid w:val="00894CCF"/>
    <w:rsid w:val="00896150"/>
    <w:rsid w:val="00896C38"/>
    <w:rsid w:val="008976C8"/>
    <w:rsid w:val="00897D9E"/>
    <w:rsid w:val="008A0693"/>
    <w:rsid w:val="008A1900"/>
    <w:rsid w:val="008A2078"/>
    <w:rsid w:val="008A4CB3"/>
    <w:rsid w:val="008A68E3"/>
    <w:rsid w:val="008A7211"/>
    <w:rsid w:val="008A7ADC"/>
    <w:rsid w:val="008A7DA7"/>
    <w:rsid w:val="008B02D7"/>
    <w:rsid w:val="008B098E"/>
    <w:rsid w:val="008B1066"/>
    <w:rsid w:val="008B1A5D"/>
    <w:rsid w:val="008B1F8A"/>
    <w:rsid w:val="008B2305"/>
    <w:rsid w:val="008B3289"/>
    <w:rsid w:val="008B37C5"/>
    <w:rsid w:val="008B470E"/>
    <w:rsid w:val="008B4942"/>
    <w:rsid w:val="008B4FEE"/>
    <w:rsid w:val="008B6B4B"/>
    <w:rsid w:val="008B6BCF"/>
    <w:rsid w:val="008C06E0"/>
    <w:rsid w:val="008C09C3"/>
    <w:rsid w:val="008C104F"/>
    <w:rsid w:val="008C195B"/>
    <w:rsid w:val="008C31D5"/>
    <w:rsid w:val="008C37F2"/>
    <w:rsid w:val="008C4A1E"/>
    <w:rsid w:val="008C4E84"/>
    <w:rsid w:val="008C53D7"/>
    <w:rsid w:val="008C6495"/>
    <w:rsid w:val="008C6D66"/>
    <w:rsid w:val="008C6EE2"/>
    <w:rsid w:val="008C7578"/>
    <w:rsid w:val="008C7CA6"/>
    <w:rsid w:val="008D19A4"/>
    <w:rsid w:val="008D1DE1"/>
    <w:rsid w:val="008D26BC"/>
    <w:rsid w:val="008D3343"/>
    <w:rsid w:val="008D3904"/>
    <w:rsid w:val="008D49C1"/>
    <w:rsid w:val="008D5880"/>
    <w:rsid w:val="008D66B8"/>
    <w:rsid w:val="008D6AB3"/>
    <w:rsid w:val="008E0967"/>
    <w:rsid w:val="008E0AAF"/>
    <w:rsid w:val="008E0D2E"/>
    <w:rsid w:val="008E10C9"/>
    <w:rsid w:val="008E125C"/>
    <w:rsid w:val="008E40E6"/>
    <w:rsid w:val="008E453F"/>
    <w:rsid w:val="008E672A"/>
    <w:rsid w:val="008E7850"/>
    <w:rsid w:val="008E7F80"/>
    <w:rsid w:val="008F0427"/>
    <w:rsid w:val="008F1614"/>
    <w:rsid w:val="008F1EA6"/>
    <w:rsid w:val="008F26ED"/>
    <w:rsid w:val="008F2B36"/>
    <w:rsid w:val="008F2F93"/>
    <w:rsid w:val="008F438A"/>
    <w:rsid w:val="008F43B5"/>
    <w:rsid w:val="008F5F88"/>
    <w:rsid w:val="008F7031"/>
    <w:rsid w:val="008F7CCA"/>
    <w:rsid w:val="008F7E5F"/>
    <w:rsid w:val="0090012C"/>
    <w:rsid w:val="00900E94"/>
    <w:rsid w:val="00901EFF"/>
    <w:rsid w:val="009032B6"/>
    <w:rsid w:val="009038AB"/>
    <w:rsid w:val="00903DB9"/>
    <w:rsid w:val="009055AF"/>
    <w:rsid w:val="00906209"/>
    <w:rsid w:val="0090651B"/>
    <w:rsid w:val="00906776"/>
    <w:rsid w:val="00907338"/>
    <w:rsid w:val="009101EA"/>
    <w:rsid w:val="00911651"/>
    <w:rsid w:val="00911CE5"/>
    <w:rsid w:val="00912739"/>
    <w:rsid w:val="00914D93"/>
    <w:rsid w:val="00915EAC"/>
    <w:rsid w:val="0091708F"/>
    <w:rsid w:val="00917D6F"/>
    <w:rsid w:val="00917E49"/>
    <w:rsid w:val="009230C9"/>
    <w:rsid w:val="00923CC7"/>
    <w:rsid w:val="00925CFC"/>
    <w:rsid w:val="00926083"/>
    <w:rsid w:val="009275E3"/>
    <w:rsid w:val="009301FC"/>
    <w:rsid w:val="00930B0A"/>
    <w:rsid w:val="00930CC4"/>
    <w:rsid w:val="00930CD6"/>
    <w:rsid w:val="00931B3E"/>
    <w:rsid w:val="00933B88"/>
    <w:rsid w:val="00934A9E"/>
    <w:rsid w:val="0093639B"/>
    <w:rsid w:val="00937B51"/>
    <w:rsid w:val="00942148"/>
    <w:rsid w:val="0094343D"/>
    <w:rsid w:val="009440ED"/>
    <w:rsid w:val="00944A9E"/>
    <w:rsid w:val="00945304"/>
    <w:rsid w:val="009474B1"/>
    <w:rsid w:val="0095068B"/>
    <w:rsid w:val="00952280"/>
    <w:rsid w:val="00952C74"/>
    <w:rsid w:val="009530AE"/>
    <w:rsid w:val="009565DF"/>
    <w:rsid w:val="009570FC"/>
    <w:rsid w:val="00960636"/>
    <w:rsid w:val="00960C8C"/>
    <w:rsid w:val="009616D7"/>
    <w:rsid w:val="00962D92"/>
    <w:rsid w:val="00962FD7"/>
    <w:rsid w:val="009630F9"/>
    <w:rsid w:val="009632C4"/>
    <w:rsid w:val="00963B3E"/>
    <w:rsid w:val="00966658"/>
    <w:rsid w:val="0097057C"/>
    <w:rsid w:val="0097242A"/>
    <w:rsid w:val="00972FBD"/>
    <w:rsid w:val="00973592"/>
    <w:rsid w:val="00974796"/>
    <w:rsid w:val="00975D8C"/>
    <w:rsid w:val="00975F57"/>
    <w:rsid w:val="00976916"/>
    <w:rsid w:val="0097704E"/>
    <w:rsid w:val="00977974"/>
    <w:rsid w:val="009807F6"/>
    <w:rsid w:val="00981546"/>
    <w:rsid w:val="009821F3"/>
    <w:rsid w:val="0098422B"/>
    <w:rsid w:val="00985F23"/>
    <w:rsid w:val="009903D8"/>
    <w:rsid w:val="00990F82"/>
    <w:rsid w:val="009915C3"/>
    <w:rsid w:val="00991D7D"/>
    <w:rsid w:val="00992B82"/>
    <w:rsid w:val="0099392C"/>
    <w:rsid w:val="00994ADB"/>
    <w:rsid w:val="009950FB"/>
    <w:rsid w:val="00995725"/>
    <w:rsid w:val="009969DB"/>
    <w:rsid w:val="009A0521"/>
    <w:rsid w:val="009A1410"/>
    <w:rsid w:val="009A1964"/>
    <w:rsid w:val="009A1AB8"/>
    <w:rsid w:val="009A1E10"/>
    <w:rsid w:val="009A2866"/>
    <w:rsid w:val="009A2915"/>
    <w:rsid w:val="009A2BDF"/>
    <w:rsid w:val="009A3526"/>
    <w:rsid w:val="009A3CF0"/>
    <w:rsid w:val="009A3D9D"/>
    <w:rsid w:val="009A5544"/>
    <w:rsid w:val="009A7528"/>
    <w:rsid w:val="009A7C92"/>
    <w:rsid w:val="009A7DCA"/>
    <w:rsid w:val="009B0D34"/>
    <w:rsid w:val="009B24BF"/>
    <w:rsid w:val="009B2C0E"/>
    <w:rsid w:val="009B4902"/>
    <w:rsid w:val="009B5B07"/>
    <w:rsid w:val="009B6777"/>
    <w:rsid w:val="009B6A1D"/>
    <w:rsid w:val="009B6CA8"/>
    <w:rsid w:val="009B74D2"/>
    <w:rsid w:val="009C1384"/>
    <w:rsid w:val="009C63DF"/>
    <w:rsid w:val="009C7053"/>
    <w:rsid w:val="009D0484"/>
    <w:rsid w:val="009D357C"/>
    <w:rsid w:val="009D4B6E"/>
    <w:rsid w:val="009D68EC"/>
    <w:rsid w:val="009D7241"/>
    <w:rsid w:val="009E03B4"/>
    <w:rsid w:val="009E0487"/>
    <w:rsid w:val="009E193B"/>
    <w:rsid w:val="009E3B1F"/>
    <w:rsid w:val="009E5CE4"/>
    <w:rsid w:val="009F0040"/>
    <w:rsid w:val="009F0430"/>
    <w:rsid w:val="009F1E55"/>
    <w:rsid w:val="009F38AD"/>
    <w:rsid w:val="009F6182"/>
    <w:rsid w:val="009F68E5"/>
    <w:rsid w:val="009F6973"/>
    <w:rsid w:val="009F6D51"/>
    <w:rsid w:val="009F7FAE"/>
    <w:rsid w:val="00A00B4D"/>
    <w:rsid w:val="00A0182E"/>
    <w:rsid w:val="00A01931"/>
    <w:rsid w:val="00A01CAA"/>
    <w:rsid w:val="00A058CC"/>
    <w:rsid w:val="00A05FB6"/>
    <w:rsid w:val="00A069C7"/>
    <w:rsid w:val="00A071D5"/>
    <w:rsid w:val="00A07921"/>
    <w:rsid w:val="00A120B5"/>
    <w:rsid w:val="00A12371"/>
    <w:rsid w:val="00A136D5"/>
    <w:rsid w:val="00A14B88"/>
    <w:rsid w:val="00A15928"/>
    <w:rsid w:val="00A16081"/>
    <w:rsid w:val="00A160F8"/>
    <w:rsid w:val="00A2048C"/>
    <w:rsid w:val="00A20E7F"/>
    <w:rsid w:val="00A2222C"/>
    <w:rsid w:val="00A22410"/>
    <w:rsid w:val="00A22BD1"/>
    <w:rsid w:val="00A2305E"/>
    <w:rsid w:val="00A24610"/>
    <w:rsid w:val="00A25909"/>
    <w:rsid w:val="00A26D1B"/>
    <w:rsid w:val="00A30017"/>
    <w:rsid w:val="00A304B8"/>
    <w:rsid w:val="00A320DA"/>
    <w:rsid w:val="00A329BA"/>
    <w:rsid w:val="00A34F9B"/>
    <w:rsid w:val="00A362CD"/>
    <w:rsid w:val="00A363D5"/>
    <w:rsid w:val="00A40475"/>
    <w:rsid w:val="00A4120F"/>
    <w:rsid w:val="00A44388"/>
    <w:rsid w:val="00A44EF6"/>
    <w:rsid w:val="00A52195"/>
    <w:rsid w:val="00A52327"/>
    <w:rsid w:val="00A52692"/>
    <w:rsid w:val="00A52A74"/>
    <w:rsid w:val="00A52C20"/>
    <w:rsid w:val="00A52C3F"/>
    <w:rsid w:val="00A53AEA"/>
    <w:rsid w:val="00A53F81"/>
    <w:rsid w:val="00A54566"/>
    <w:rsid w:val="00A561ED"/>
    <w:rsid w:val="00A5642D"/>
    <w:rsid w:val="00A56C87"/>
    <w:rsid w:val="00A5713F"/>
    <w:rsid w:val="00A605F0"/>
    <w:rsid w:val="00A605F3"/>
    <w:rsid w:val="00A60FDB"/>
    <w:rsid w:val="00A6151E"/>
    <w:rsid w:val="00A62087"/>
    <w:rsid w:val="00A628D7"/>
    <w:rsid w:val="00A62BC4"/>
    <w:rsid w:val="00A63246"/>
    <w:rsid w:val="00A63371"/>
    <w:rsid w:val="00A64752"/>
    <w:rsid w:val="00A64798"/>
    <w:rsid w:val="00A647DA"/>
    <w:rsid w:val="00A6648C"/>
    <w:rsid w:val="00A679A7"/>
    <w:rsid w:val="00A71D3E"/>
    <w:rsid w:val="00A80A35"/>
    <w:rsid w:val="00A80A91"/>
    <w:rsid w:val="00A817F1"/>
    <w:rsid w:val="00A827F6"/>
    <w:rsid w:val="00A835A0"/>
    <w:rsid w:val="00A85137"/>
    <w:rsid w:val="00A85555"/>
    <w:rsid w:val="00A8578A"/>
    <w:rsid w:val="00A90400"/>
    <w:rsid w:val="00A908C9"/>
    <w:rsid w:val="00A92581"/>
    <w:rsid w:val="00A9559D"/>
    <w:rsid w:val="00A95706"/>
    <w:rsid w:val="00A97269"/>
    <w:rsid w:val="00A97FF9"/>
    <w:rsid w:val="00AA15EA"/>
    <w:rsid w:val="00AA2610"/>
    <w:rsid w:val="00AA37D5"/>
    <w:rsid w:val="00AA3F46"/>
    <w:rsid w:val="00AA5C1E"/>
    <w:rsid w:val="00AA5C69"/>
    <w:rsid w:val="00AA6DB2"/>
    <w:rsid w:val="00AA715A"/>
    <w:rsid w:val="00AA74DD"/>
    <w:rsid w:val="00AA74EC"/>
    <w:rsid w:val="00AA7E6E"/>
    <w:rsid w:val="00AB042B"/>
    <w:rsid w:val="00AB0649"/>
    <w:rsid w:val="00AB27F3"/>
    <w:rsid w:val="00AB2897"/>
    <w:rsid w:val="00AB3038"/>
    <w:rsid w:val="00AB35E2"/>
    <w:rsid w:val="00AB3E08"/>
    <w:rsid w:val="00AB4B14"/>
    <w:rsid w:val="00AB4F8A"/>
    <w:rsid w:val="00AB707D"/>
    <w:rsid w:val="00AC0D69"/>
    <w:rsid w:val="00AC0F40"/>
    <w:rsid w:val="00AC2763"/>
    <w:rsid w:val="00AC2F2B"/>
    <w:rsid w:val="00AC3637"/>
    <w:rsid w:val="00AC3FDE"/>
    <w:rsid w:val="00AC51E2"/>
    <w:rsid w:val="00AC549B"/>
    <w:rsid w:val="00AC58A2"/>
    <w:rsid w:val="00AC751C"/>
    <w:rsid w:val="00AC7ADF"/>
    <w:rsid w:val="00AD1067"/>
    <w:rsid w:val="00AD2738"/>
    <w:rsid w:val="00AD2782"/>
    <w:rsid w:val="00AD2B13"/>
    <w:rsid w:val="00AD3598"/>
    <w:rsid w:val="00AD4440"/>
    <w:rsid w:val="00AD48C0"/>
    <w:rsid w:val="00AD4E25"/>
    <w:rsid w:val="00AD57C7"/>
    <w:rsid w:val="00AD5BDF"/>
    <w:rsid w:val="00AD662E"/>
    <w:rsid w:val="00AD707F"/>
    <w:rsid w:val="00AD716D"/>
    <w:rsid w:val="00AD7449"/>
    <w:rsid w:val="00AD755B"/>
    <w:rsid w:val="00AE0687"/>
    <w:rsid w:val="00AE0F59"/>
    <w:rsid w:val="00AE20CC"/>
    <w:rsid w:val="00AE2CBB"/>
    <w:rsid w:val="00AE3122"/>
    <w:rsid w:val="00AE3852"/>
    <w:rsid w:val="00AE39D0"/>
    <w:rsid w:val="00AE52CA"/>
    <w:rsid w:val="00AE54F1"/>
    <w:rsid w:val="00AE68C8"/>
    <w:rsid w:val="00AE6E25"/>
    <w:rsid w:val="00AE701F"/>
    <w:rsid w:val="00AE76A9"/>
    <w:rsid w:val="00AE772C"/>
    <w:rsid w:val="00AE7DD8"/>
    <w:rsid w:val="00AF06D1"/>
    <w:rsid w:val="00AF1071"/>
    <w:rsid w:val="00AF1255"/>
    <w:rsid w:val="00AF15E0"/>
    <w:rsid w:val="00AF2F38"/>
    <w:rsid w:val="00AF4274"/>
    <w:rsid w:val="00AF448F"/>
    <w:rsid w:val="00AF752F"/>
    <w:rsid w:val="00B0011E"/>
    <w:rsid w:val="00B002A7"/>
    <w:rsid w:val="00B0031B"/>
    <w:rsid w:val="00B00FB3"/>
    <w:rsid w:val="00B011C5"/>
    <w:rsid w:val="00B018E9"/>
    <w:rsid w:val="00B01CC2"/>
    <w:rsid w:val="00B06F22"/>
    <w:rsid w:val="00B0785C"/>
    <w:rsid w:val="00B1292A"/>
    <w:rsid w:val="00B12ADA"/>
    <w:rsid w:val="00B133AF"/>
    <w:rsid w:val="00B13E30"/>
    <w:rsid w:val="00B1658C"/>
    <w:rsid w:val="00B1659B"/>
    <w:rsid w:val="00B16D55"/>
    <w:rsid w:val="00B200E2"/>
    <w:rsid w:val="00B20448"/>
    <w:rsid w:val="00B218E0"/>
    <w:rsid w:val="00B22466"/>
    <w:rsid w:val="00B22BBE"/>
    <w:rsid w:val="00B23463"/>
    <w:rsid w:val="00B26639"/>
    <w:rsid w:val="00B27894"/>
    <w:rsid w:val="00B30B57"/>
    <w:rsid w:val="00B32387"/>
    <w:rsid w:val="00B33133"/>
    <w:rsid w:val="00B367C6"/>
    <w:rsid w:val="00B379AC"/>
    <w:rsid w:val="00B40134"/>
    <w:rsid w:val="00B408FB"/>
    <w:rsid w:val="00B41725"/>
    <w:rsid w:val="00B42774"/>
    <w:rsid w:val="00B4333E"/>
    <w:rsid w:val="00B43B7D"/>
    <w:rsid w:val="00B447F2"/>
    <w:rsid w:val="00B46178"/>
    <w:rsid w:val="00B462C6"/>
    <w:rsid w:val="00B46553"/>
    <w:rsid w:val="00B46833"/>
    <w:rsid w:val="00B50BC7"/>
    <w:rsid w:val="00B518E6"/>
    <w:rsid w:val="00B550CE"/>
    <w:rsid w:val="00B551B3"/>
    <w:rsid w:val="00B561A9"/>
    <w:rsid w:val="00B572D6"/>
    <w:rsid w:val="00B6000E"/>
    <w:rsid w:val="00B60EEC"/>
    <w:rsid w:val="00B62CAC"/>
    <w:rsid w:val="00B62EC0"/>
    <w:rsid w:val="00B62F62"/>
    <w:rsid w:val="00B677E2"/>
    <w:rsid w:val="00B71416"/>
    <w:rsid w:val="00B73C5E"/>
    <w:rsid w:val="00B740EE"/>
    <w:rsid w:val="00B7462D"/>
    <w:rsid w:val="00B74B7A"/>
    <w:rsid w:val="00B756E6"/>
    <w:rsid w:val="00B7570F"/>
    <w:rsid w:val="00B76B49"/>
    <w:rsid w:val="00B77BD8"/>
    <w:rsid w:val="00B8108F"/>
    <w:rsid w:val="00B81C8B"/>
    <w:rsid w:val="00B83CC8"/>
    <w:rsid w:val="00B84406"/>
    <w:rsid w:val="00B8440A"/>
    <w:rsid w:val="00B8531B"/>
    <w:rsid w:val="00B858AF"/>
    <w:rsid w:val="00B866DF"/>
    <w:rsid w:val="00B86E13"/>
    <w:rsid w:val="00B8709D"/>
    <w:rsid w:val="00B907E8"/>
    <w:rsid w:val="00B91082"/>
    <w:rsid w:val="00B91D48"/>
    <w:rsid w:val="00B93992"/>
    <w:rsid w:val="00B97A96"/>
    <w:rsid w:val="00BA0942"/>
    <w:rsid w:val="00BA0CBF"/>
    <w:rsid w:val="00BA19F8"/>
    <w:rsid w:val="00BA2533"/>
    <w:rsid w:val="00BA3074"/>
    <w:rsid w:val="00BA31F8"/>
    <w:rsid w:val="00BA3A55"/>
    <w:rsid w:val="00BA50DF"/>
    <w:rsid w:val="00BA5553"/>
    <w:rsid w:val="00BA6A5F"/>
    <w:rsid w:val="00BB0BC4"/>
    <w:rsid w:val="00BB1568"/>
    <w:rsid w:val="00BB2BA4"/>
    <w:rsid w:val="00BB31CE"/>
    <w:rsid w:val="00BB3705"/>
    <w:rsid w:val="00BB3D11"/>
    <w:rsid w:val="00BB4BBA"/>
    <w:rsid w:val="00BB6F77"/>
    <w:rsid w:val="00BB72EB"/>
    <w:rsid w:val="00BC4B15"/>
    <w:rsid w:val="00BC5187"/>
    <w:rsid w:val="00BC532B"/>
    <w:rsid w:val="00BC5CD2"/>
    <w:rsid w:val="00BC6999"/>
    <w:rsid w:val="00BC721A"/>
    <w:rsid w:val="00BD0636"/>
    <w:rsid w:val="00BD0B29"/>
    <w:rsid w:val="00BD1433"/>
    <w:rsid w:val="00BD1BF4"/>
    <w:rsid w:val="00BD363A"/>
    <w:rsid w:val="00BD503F"/>
    <w:rsid w:val="00BD5070"/>
    <w:rsid w:val="00BD6EE8"/>
    <w:rsid w:val="00BE07D3"/>
    <w:rsid w:val="00BE2333"/>
    <w:rsid w:val="00BE2771"/>
    <w:rsid w:val="00BE2B5F"/>
    <w:rsid w:val="00BE2DA9"/>
    <w:rsid w:val="00BE31A6"/>
    <w:rsid w:val="00BE45E9"/>
    <w:rsid w:val="00BE57C4"/>
    <w:rsid w:val="00BE6EEF"/>
    <w:rsid w:val="00BF0FB3"/>
    <w:rsid w:val="00BF2075"/>
    <w:rsid w:val="00BF2441"/>
    <w:rsid w:val="00BF402B"/>
    <w:rsid w:val="00BF4232"/>
    <w:rsid w:val="00BF5353"/>
    <w:rsid w:val="00BF6270"/>
    <w:rsid w:val="00BF6FD3"/>
    <w:rsid w:val="00BF7BEB"/>
    <w:rsid w:val="00C00264"/>
    <w:rsid w:val="00C009F0"/>
    <w:rsid w:val="00C00A95"/>
    <w:rsid w:val="00C01182"/>
    <w:rsid w:val="00C01669"/>
    <w:rsid w:val="00C02C11"/>
    <w:rsid w:val="00C030F0"/>
    <w:rsid w:val="00C031BB"/>
    <w:rsid w:val="00C04C3F"/>
    <w:rsid w:val="00C04F7E"/>
    <w:rsid w:val="00C0534E"/>
    <w:rsid w:val="00C05531"/>
    <w:rsid w:val="00C06632"/>
    <w:rsid w:val="00C1083D"/>
    <w:rsid w:val="00C11E4A"/>
    <w:rsid w:val="00C12E1F"/>
    <w:rsid w:val="00C13839"/>
    <w:rsid w:val="00C13950"/>
    <w:rsid w:val="00C13BE5"/>
    <w:rsid w:val="00C16308"/>
    <w:rsid w:val="00C165E8"/>
    <w:rsid w:val="00C16AB6"/>
    <w:rsid w:val="00C17EB3"/>
    <w:rsid w:val="00C21572"/>
    <w:rsid w:val="00C21775"/>
    <w:rsid w:val="00C2183F"/>
    <w:rsid w:val="00C21AF1"/>
    <w:rsid w:val="00C23B7B"/>
    <w:rsid w:val="00C249D3"/>
    <w:rsid w:val="00C26B69"/>
    <w:rsid w:val="00C27EEB"/>
    <w:rsid w:val="00C31B5D"/>
    <w:rsid w:val="00C3212D"/>
    <w:rsid w:val="00C32573"/>
    <w:rsid w:val="00C32DF2"/>
    <w:rsid w:val="00C33EB5"/>
    <w:rsid w:val="00C353E6"/>
    <w:rsid w:val="00C35C7E"/>
    <w:rsid w:val="00C36149"/>
    <w:rsid w:val="00C41DAC"/>
    <w:rsid w:val="00C422DC"/>
    <w:rsid w:val="00C42BDA"/>
    <w:rsid w:val="00C440AE"/>
    <w:rsid w:val="00C44409"/>
    <w:rsid w:val="00C46198"/>
    <w:rsid w:val="00C46F09"/>
    <w:rsid w:val="00C47726"/>
    <w:rsid w:val="00C533C1"/>
    <w:rsid w:val="00C559A3"/>
    <w:rsid w:val="00C57390"/>
    <w:rsid w:val="00C60139"/>
    <w:rsid w:val="00C6198A"/>
    <w:rsid w:val="00C621B8"/>
    <w:rsid w:val="00C63593"/>
    <w:rsid w:val="00C638F8"/>
    <w:rsid w:val="00C63D09"/>
    <w:rsid w:val="00C64F52"/>
    <w:rsid w:val="00C65336"/>
    <w:rsid w:val="00C6594B"/>
    <w:rsid w:val="00C65C4D"/>
    <w:rsid w:val="00C70188"/>
    <w:rsid w:val="00C70F76"/>
    <w:rsid w:val="00C72935"/>
    <w:rsid w:val="00C72D6E"/>
    <w:rsid w:val="00C72E6D"/>
    <w:rsid w:val="00C74687"/>
    <w:rsid w:val="00C7502B"/>
    <w:rsid w:val="00C75912"/>
    <w:rsid w:val="00C75BB9"/>
    <w:rsid w:val="00C76F52"/>
    <w:rsid w:val="00C76FD3"/>
    <w:rsid w:val="00C8019A"/>
    <w:rsid w:val="00C81260"/>
    <w:rsid w:val="00C83110"/>
    <w:rsid w:val="00C83213"/>
    <w:rsid w:val="00C83571"/>
    <w:rsid w:val="00C83D90"/>
    <w:rsid w:val="00C861AD"/>
    <w:rsid w:val="00C86D1C"/>
    <w:rsid w:val="00C8731B"/>
    <w:rsid w:val="00C928AC"/>
    <w:rsid w:val="00C92FA6"/>
    <w:rsid w:val="00C94399"/>
    <w:rsid w:val="00C968D5"/>
    <w:rsid w:val="00C97AC0"/>
    <w:rsid w:val="00C97B9C"/>
    <w:rsid w:val="00C97BE5"/>
    <w:rsid w:val="00C97DDE"/>
    <w:rsid w:val="00C97F8B"/>
    <w:rsid w:val="00CA0A15"/>
    <w:rsid w:val="00CA286B"/>
    <w:rsid w:val="00CA2D94"/>
    <w:rsid w:val="00CA3D3B"/>
    <w:rsid w:val="00CA5581"/>
    <w:rsid w:val="00CA6524"/>
    <w:rsid w:val="00CA791C"/>
    <w:rsid w:val="00CB128F"/>
    <w:rsid w:val="00CB14E5"/>
    <w:rsid w:val="00CB17F6"/>
    <w:rsid w:val="00CB1A58"/>
    <w:rsid w:val="00CB2B7B"/>
    <w:rsid w:val="00CB2BE0"/>
    <w:rsid w:val="00CB5AC0"/>
    <w:rsid w:val="00CB5EA2"/>
    <w:rsid w:val="00CB62D8"/>
    <w:rsid w:val="00CB736C"/>
    <w:rsid w:val="00CC01E3"/>
    <w:rsid w:val="00CC13C0"/>
    <w:rsid w:val="00CC34A8"/>
    <w:rsid w:val="00CC3E0B"/>
    <w:rsid w:val="00CC43A3"/>
    <w:rsid w:val="00CC451C"/>
    <w:rsid w:val="00CC4B08"/>
    <w:rsid w:val="00CC5773"/>
    <w:rsid w:val="00CC58A1"/>
    <w:rsid w:val="00CC604C"/>
    <w:rsid w:val="00CC6214"/>
    <w:rsid w:val="00CC6EA0"/>
    <w:rsid w:val="00CC704C"/>
    <w:rsid w:val="00CC7434"/>
    <w:rsid w:val="00CC76CF"/>
    <w:rsid w:val="00CC7AFC"/>
    <w:rsid w:val="00CC7BA3"/>
    <w:rsid w:val="00CD0D79"/>
    <w:rsid w:val="00CD1658"/>
    <w:rsid w:val="00CD232A"/>
    <w:rsid w:val="00CD3C70"/>
    <w:rsid w:val="00CD43CB"/>
    <w:rsid w:val="00CD4D8C"/>
    <w:rsid w:val="00CD4EF3"/>
    <w:rsid w:val="00CD57A2"/>
    <w:rsid w:val="00CD779B"/>
    <w:rsid w:val="00CE11D9"/>
    <w:rsid w:val="00CE30E6"/>
    <w:rsid w:val="00CE51DA"/>
    <w:rsid w:val="00CE5685"/>
    <w:rsid w:val="00CE5706"/>
    <w:rsid w:val="00CE5754"/>
    <w:rsid w:val="00CE5995"/>
    <w:rsid w:val="00CE6DF3"/>
    <w:rsid w:val="00CF0010"/>
    <w:rsid w:val="00CF0E6E"/>
    <w:rsid w:val="00CF1553"/>
    <w:rsid w:val="00CF3324"/>
    <w:rsid w:val="00CF3B22"/>
    <w:rsid w:val="00CF3EB1"/>
    <w:rsid w:val="00CF4971"/>
    <w:rsid w:val="00CF49DC"/>
    <w:rsid w:val="00CF5014"/>
    <w:rsid w:val="00CF551B"/>
    <w:rsid w:val="00CF64DD"/>
    <w:rsid w:val="00CF64E2"/>
    <w:rsid w:val="00CF6F3F"/>
    <w:rsid w:val="00D01D45"/>
    <w:rsid w:val="00D02A53"/>
    <w:rsid w:val="00D02C93"/>
    <w:rsid w:val="00D0316B"/>
    <w:rsid w:val="00D059DB"/>
    <w:rsid w:val="00D05E8F"/>
    <w:rsid w:val="00D066E4"/>
    <w:rsid w:val="00D07223"/>
    <w:rsid w:val="00D07A37"/>
    <w:rsid w:val="00D113EB"/>
    <w:rsid w:val="00D13BCA"/>
    <w:rsid w:val="00D15277"/>
    <w:rsid w:val="00D16039"/>
    <w:rsid w:val="00D179D8"/>
    <w:rsid w:val="00D20B9A"/>
    <w:rsid w:val="00D21FF0"/>
    <w:rsid w:val="00D231B0"/>
    <w:rsid w:val="00D23F38"/>
    <w:rsid w:val="00D267D1"/>
    <w:rsid w:val="00D26ADC"/>
    <w:rsid w:val="00D27BB8"/>
    <w:rsid w:val="00D31848"/>
    <w:rsid w:val="00D31CFE"/>
    <w:rsid w:val="00D323CB"/>
    <w:rsid w:val="00D32F1A"/>
    <w:rsid w:val="00D33B16"/>
    <w:rsid w:val="00D3594C"/>
    <w:rsid w:val="00D3739F"/>
    <w:rsid w:val="00D41DE7"/>
    <w:rsid w:val="00D43C4B"/>
    <w:rsid w:val="00D44192"/>
    <w:rsid w:val="00D44766"/>
    <w:rsid w:val="00D45476"/>
    <w:rsid w:val="00D46158"/>
    <w:rsid w:val="00D46595"/>
    <w:rsid w:val="00D46B1E"/>
    <w:rsid w:val="00D51015"/>
    <w:rsid w:val="00D526F4"/>
    <w:rsid w:val="00D529A2"/>
    <w:rsid w:val="00D52E1D"/>
    <w:rsid w:val="00D53909"/>
    <w:rsid w:val="00D53A57"/>
    <w:rsid w:val="00D53C37"/>
    <w:rsid w:val="00D540E4"/>
    <w:rsid w:val="00D544B4"/>
    <w:rsid w:val="00D5526A"/>
    <w:rsid w:val="00D570AD"/>
    <w:rsid w:val="00D57493"/>
    <w:rsid w:val="00D5767A"/>
    <w:rsid w:val="00D5779F"/>
    <w:rsid w:val="00D577D9"/>
    <w:rsid w:val="00D57C8D"/>
    <w:rsid w:val="00D60060"/>
    <w:rsid w:val="00D62EC5"/>
    <w:rsid w:val="00D6435C"/>
    <w:rsid w:val="00D649E4"/>
    <w:rsid w:val="00D659B1"/>
    <w:rsid w:val="00D65DED"/>
    <w:rsid w:val="00D65FD8"/>
    <w:rsid w:val="00D664E3"/>
    <w:rsid w:val="00D7027B"/>
    <w:rsid w:val="00D71166"/>
    <w:rsid w:val="00D713B7"/>
    <w:rsid w:val="00D7164F"/>
    <w:rsid w:val="00D7177B"/>
    <w:rsid w:val="00D71C94"/>
    <w:rsid w:val="00D721F6"/>
    <w:rsid w:val="00D748E3"/>
    <w:rsid w:val="00D74E55"/>
    <w:rsid w:val="00D750A8"/>
    <w:rsid w:val="00D75B52"/>
    <w:rsid w:val="00D76C89"/>
    <w:rsid w:val="00D81207"/>
    <w:rsid w:val="00D81D6A"/>
    <w:rsid w:val="00D827AD"/>
    <w:rsid w:val="00D82D97"/>
    <w:rsid w:val="00D8440F"/>
    <w:rsid w:val="00D85C6F"/>
    <w:rsid w:val="00D867D3"/>
    <w:rsid w:val="00D86B47"/>
    <w:rsid w:val="00D90288"/>
    <w:rsid w:val="00D92A4E"/>
    <w:rsid w:val="00D94AC5"/>
    <w:rsid w:val="00D968AC"/>
    <w:rsid w:val="00D96CD2"/>
    <w:rsid w:val="00D96DAF"/>
    <w:rsid w:val="00D96F8C"/>
    <w:rsid w:val="00DA19F1"/>
    <w:rsid w:val="00DA4DB6"/>
    <w:rsid w:val="00DA79FC"/>
    <w:rsid w:val="00DA7F30"/>
    <w:rsid w:val="00DB0BA4"/>
    <w:rsid w:val="00DB2C94"/>
    <w:rsid w:val="00DB300F"/>
    <w:rsid w:val="00DB565C"/>
    <w:rsid w:val="00DB63C1"/>
    <w:rsid w:val="00DB6807"/>
    <w:rsid w:val="00DB6A25"/>
    <w:rsid w:val="00DB74FA"/>
    <w:rsid w:val="00DC0F32"/>
    <w:rsid w:val="00DC0FEC"/>
    <w:rsid w:val="00DC1697"/>
    <w:rsid w:val="00DC16EE"/>
    <w:rsid w:val="00DC2641"/>
    <w:rsid w:val="00DC3533"/>
    <w:rsid w:val="00DC372F"/>
    <w:rsid w:val="00DC4B29"/>
    <w:rsid w:val="00DC4BBA"/>
    <w:rsid w:val="00DC4C40"/>
    <w:rsid w:val="00DC4DF9"/>
    <w:rsid w:val="00DC510D"/>
    <w:rsid w:val="00DC59F9"/>
    <w:rsid w:val="00DC68F6"/>
    <w:rsid w:val="00DC6BD8"/>
    <w:rsid w:val="00DC712F"/>
    <w:rsid w:val="00DD0684"/>
    <w:rsid w:val="00DD076C"/>
    <w:rsid w:val="00DD151F"/>
    <w:rsid w:val="00DD17A9"/>
    <w:rsid w:val="00DD2681"/>
    <w:rsid w:val="00DD43DC"/>
    <w:rsid w:val="00DD6255"/>
    <w:rsid w:val="00DE1C57"/>
    <w:rsid w:val="00DE4667"/>
    <w:rsid w:val="00DF00F7"/>
    <w:rsid w:val="00DF029E"/>
    <w:rsid w:val="00DF0AFC"/>
    <w:rsid w:val="00DF130A"/>
    <w:rsid w:val="00DF1FC9"/>
    <w:rsid w:val="00DF2A18"/>
    <w:rsid w:val="00DF2B27"/>
    <w:rsid w:val="00DF2F16"/>
    <w:rsid w:val="00DF3F42"/>
    <w:rsid w:val="00DF472E"/>
    <w:rsid w:val="00DF6D5C"/>
    <w:rsid w:val="00DF76A5"/>
    <w:rsid w:val="00DF7A9F"/>
    <w:rsid w:val="00E00A7D"/>
    <w:rsid w:val="00E00F98"/>
    <w:rsid w:val="00E01378"/>
    <w:rsid w:val="00E025C7"/>
    <w:rsid w:val="00E02C4A"/>
    <w:rsid w:val="00E0301C"/>
    <w:rsid w:val="00E04C55"/>
    <w:rsid w:val="00E04D47"/>
    <w:rsid w:val="00E0541F"/>
    <w:rsid w:val="00E05ECD"/>
    <w:rsid w:val="00E06769"/>
    <w:rsid w:val="00E11029"/>
    <w:rsid w:val="00E111A3"/>
    <w:rsid w:val="00E11CDD"/>
    <w:rsid w:val="00E1305E"/>
    <w:rsid w:val="00E13A73"/>
    <w:rsid w:val="00E13C79"/>
    <w:rsid w:val="00E14B69"/>
    <w:rsid w:val="00E14E3B"/>
    <w:rsid w:val="00E1544B"/>
    <w:rsid w:val="00E15C0E"/>
    <w:rsid w:val="00E1799E"/>
    <w:rsid w:val="00E17DE4"/>
    <w:rsid w:val="00E22A32"/>
    <w:rsid w:val="00E22DCF"/>
    <w:rsid w:val="00E2371B"/>
    <w:rsid w:val="00E24DC3"/>
    <w:rsid w:val="00E27CA5"/>
    <w:rsid w:val="00E311BE"/>
    <w:rsid w:val="00E315B5"/>
    <w:rsid w:val="00E31F88"/>
    <w:rsid w:val="00E326C1"/>
    <w:rsid w:val="00E34561"/>
    <w:rsid w:val="00E352BC"/>
    <w:rsid w:val="00E35DB9"/>
    <w:rsid w:val="00E404DB"/>
    <w:rsid w:val="00E41118"/>
    <w:rsid w:val="00E420F3"/>
    <w:rsid w:val="00E42994"/>
    <w:rsid w:val="00E43BCA"/>
    <w:rsid w:val="00E455B5"/>
    <w:rsid w:val="00E4569B"/>
    <w:rsid w:val="00E4577C"/>
    <w:rsid w:val="00E4681E"/>
    <w:rsid w:val="00E5142A"/>
    <w:rsid w:val="00E52D58"/>
    <w:rsid w:val="00E53839"/>
    <w:rsid w:val="00E5518E"/>
    <w:rsid w:val="00E55460"/>
    <w:rsid w:val="00E55772"/>
    <w:rsid w:val="00E55F90"/>
    <w:rsid w:val="00E5664C"/>
    <w:rsid w:val="00E60B7F"/>
    <w:rsid w:val="00E60EE5"/>
    <w:rsid w:val="00E61493"/>
    <w:rsid w:val="00E619D1"/>
    <w:rsid w:val="00E62520"/>
    <w:rsid w:val="00E629CF"/>
    <w:rsid w:val="00E6399F"/>
    <w:rsid w:val="00E64016"/>
    <w:rsid w:val="00E64856"/>
    <w:rsid w:val="00E64D0F"/>
    <w:rsid w:val="00E65C80"/>
    <w:rsid w:val="00E668B8"/>
    <w:rsid w:val="00E66A89"/>
    <w:rsid w:val="00E702BB"/>
    <w:rsid w:val="00E7085B"/>
    <w:rsid w:val="00E70953"/>
    <w:rsid w:val="00E71820"/>
    <w:rsid w:val="00E71BF5"/>
    <w:rsid w:val="00E72418"/>
    <w:rsid w:val="00E74641"/>
    <w:rsid w:val="00E829CB"/>
    <w:rsid w:val="00E82A57"/>
    <w:rsid w:val="00E8518A"/>
    <w:rsid w:val="00E86414"/>
    <w:rsid w:val="00E8740B"/>
    <w:rsid w:val="00E877EC"/>
    <w:rsid w:val="00E878D5"/>
    <w:rsid w:val="00E905FE"/>
    <w:rsid w:val="00E91627"/>
    <w:rsid w:val="00E920AE"/>
    <w:rsid w:val="00E92B5D"/>
    <w:rsid w:val="00E9751E"/>
    <w:rsid w:val="00E97DDA"/>
    <w:rsid w:val="00EA01BC"/>
    <w:rsid w:val="00EA0A5C"/>
    <w:rsid w:val="00EA0DDB"/>
    <w:rsid w:val="00EA28BC"/>
    <w:rsid w:val="00EA3B6C"/>
    <w:rsid w:val="00EA4F9A"/>
    <w:rsid w:val="00EA513D"/>
    <w:rsid w:val="00EA557D"/>
    <w:rsid w:val="00EA6B25"/>
    <w:rsid w:val="00EA7412"/>
    <w:rsid w:val="00EB0332"/>
    <w:rsid w:val="00EB0E01"/>
    <w:rsid w:val="00EB286F"/>
    <w:rsid w:val="00EB2D01"/>
    <w:rsid w:val="00EB3D57"/>
    <w:rsid w:val="00EB5789"/>
    <w:rsid w:val="00EB5C75"/>
    <w:rsid w:val="00EB6BDC"/>
    <w:rsid w:val="00EB7526"/>
    <w:rsid w:val="00EB7941"/>
    <w:rsid w:val="00EC0C66"/>
    <w:rsid w:val="00EC1DAD"/>
    <w:rsid w:val="00EC48F9"/>
    <w:rsid w:val="00EC4CBD"/>
    <w:rsid w:val="00EC6279"/>
    <w:rsid w:val="00EC649F"/>
    <w:rsid w:val="00EC77F9"/>
    <w:rsid w:val="00ED3CAA"/>
    <w:rsid w:val="00ED42CB"/>
    <w:rsid w:val="00ED43EE"/>
    <w:rsid w:val="00ED45CC"/>
    <w:rsid w:val="00ED4792"/>
    <w:rsid w:val="00ED47DB"/>
    <w:rsid w:val="00ED621E"/>
    <w:rsid w:val="00ED657F"/>
    <w:rsid w:val="00EE0667"/>
    <w:rsid w:val="00EE217B"/>
    <w:rsid w:val="00EE2C26"/>
    <w:rsid w:val="00EE338A"/>
    <w:rsid w:val="00EE7638"/>
    <w:rsid w:val="00EF1137"/>
    <w:rsid w:val="00EF131E"/>
    <w:rsid w:val="00EF14AC"/>
    <w:rsid w:val="00EF1FC5"/>
    <w:rsid w:val="00EF4F57"/>
    <w:rsid w:val="00EF6B10"/>
    <w:rsid w:val="00EF70EE"/>
    <w:rsid w:val="00EF733B"/>
    <w:rsid w:val="00F00913"/>
    <w:rsid w:val="00F00EC7"/>
    <w:rsid w:val="00F028BA"/>
    <w:rsid w:val="00F03F2B"/>
    <w:rsid w:val="00F0580B"/>
    <w:rsid w:val="00F06ED5"/>
    <w:rsid w:val="00F1269A"/>
    <w:rsid w:val="00F1380A"/>
    <w:rsid w:val="00F13BEF"/>
    <w:rsid w:val="00F142E5"/>
    <w:rsid w:val="00F1515B"/>
    <w:rsid w:val="00F15A00"/>
    <w:rsid w:val="00F240B7"/>
    <w:rsid w:val="00F24692"/>
    <w:rsid w:val="00F2551F"/>
    <w:rsid w:val="00F26281"/>
    <w:rsid w:val="00F27063"/>
    <w:rsid w:val="00F32668"/>
    <w:rsid w:val="00F32EF7"/>
    <w:rsid w:val="00F346D1"/>
    <w:rsid w:val="00F34D86"/>
    <w:rsid w:val="00F3543E"/>
    <w:rsid w:val="00F36E46"/>
    <w:rsid w:val="00F40743"/>
    <w:rsid w:val="00F41B41"/>
    <w:rsid w:val="00F42F0B"/>
    <w:rsid w:val="00F43033"/>
    <w:rsid w:val="00F44BBA"/>
    <w:rsid w:val="00F46AFA"/>
    <w:rsid w:val="00F47C8B"/>
    <w:rsid w:val="00F506D4"/>
    <w:rsid w:val="00F50E20"/>
    <w:rsid w:val="00F51DEE"/>
    <w:rsid w:val="00F52988"/>
    <w:rsid w:val="00F52D4B"/>
    <w:rsid w:val="00F54AB6"/>
    <w:rsid w:val="00F5730C"/>
    <w:rsid w:val="00F60773"/>
    <w:rsid w:val="00F61532"/>
    <w:rsid w:val="00F61D6B"/>
    <w:rsid w:val="00F61E92"/>
    <w:rsid w:val="00F62D3D"/>
    <w:rsid w:val="00F6584F"/>
    <w:rsid w:val="00F658D1"/>
    <w:rsid w:val="00F66253"/>
    <w:rsid w:val="00F66BA7"/>
    <w:rsid w:val="00F67736"/>
    <w:rsid w:val="00F7158E"/>
    <w:rsid w:val="00F72F29"/>
    <w:rsid w:val="00F744CE"/>
    <w:rsid w:val="00F7583B"/>
    <w:rsid w:val="00F75D6E"/>
    <w:rsid w:val="00F7617E"/>
    <w:rsid w:val="00F77DCC"/>
    <w:rsid w:val="00F801FA"/>
    <w:rsid w:val="00F80EC7"/>
    <w:rsid w:val="00F82A32"/>
    <w:rsid w:val="00F8417A"/>
    <w:rsid w:val="00F85408"/>
    <w:rsid w:val="00F8552F"/>
    <w:rsid w:val="00F865B3"/>
    <w:rsid w:val="00F86620"/>
    <w:rsid w:val="00F8722D"/>
    <w:rsid w:val="00F87881"/>
    <w:rsid w:val="00F87929"/>
    <w:rsid w:val="00F91A7D"/>
    <w:rsid w:val="00F929EA"/>
    <w:rsid w:val="00F934D1"/>
    <w:rsid w:val="00F942B3"/>
    <w:rsid w:val="00F94994"/>
    <w:rsid w:val="00F95CFB"/>
    <w:rsid w:val="00F96E97"/>
    <w:rsid w:val="00FA0E1D"/>
    <w:rsid w:val="00FA1AEF"/>
    <w:rsid w:val="00FA29C5"/>
    <w:rsid w:val="00FA46BA"/>
    <w:rsid w:val="00FA60E3"/>
    <w:rsid w:val="00FA6945"/>
    <w:rsid w:val="00FA6B1E"/>
    <w:rsid w:val="00FB1872"/>
    <w:rsid w:val="00FB1B5E"/>
    <w:rsid w:val="00FB1E63"/>
    <w:rsid w:val="00FB2941"/>
    <w:rsid w:val="00FB2B0A"/>
    <w:rsid w:val="00FB31C5"/>
    <w:rsid w:val="00FB4C91"/>
    <w:rsid w:val="00FB545A"/>
    <w:rsid w:val="00FC2B5B"/>
    <w:rsid w:val="00FC3C63"/>
    <w:rsid w:val="00FC3DF2"/>
    <w:rsid w:val="00FC42CC"/>
    <w:rsid w:val="00FC5254"/>
    <w:rsid w:val="00FC57DF"/>
    <w:rsid w:val="00FC586A"/>
    <w:rsid w:val="00FC69E2"/>
    <w:rsid w:val="00FD3EFA"/>
    <w:rsid w:val="00FD5176"/>
    <w:rsid w:val="00FD6ABA"/>
    <w:rsid w:val="00FD7C72"/>
    <w:rsid w:val="00FE07AD"/>
    <w:rsid w:val="00FE0BA1"/>
    <w:rsid w:val="00FE1AE4"/>
    <w:rsid w:val="00FE29C4"/>
    <w:rsid w:val="00FE304E"/>
    <w:rsid w:val="00FE333B"/>
    <w:rsid w:val="00FE5AE2"/>
    <w:rsid w:val="00FE5FA8"/>
    <w:rsid w:val="00FE79B6"/>
    <w:rsid w:val="00FF1718"/>
    <w:rsid w:val="00FF216D"/>
    <w:rsid w:val="00FF391C"/>
    <w:rsid w:val="00FF3FA0"/>
    <w:rsid w:val="00FF4026"/>
    <w:rsid w:val="00FF4E9C"/>
    <w:rsid w:val="00FF603F"/>
    <w:rsid w:val="00FF6606"/>
    <w:rsid w:val="00FF67E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cs-CZ" w:eastAsia="cs-CZ"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lsdException w:name="heading 5" w:semiHidden="0" w:unhideWhenUsed="0"/>
    <w:lsdException w:name="heading 6" w:semiHidden="0" w:unhideWhenUsed="0"/>
    <w:lsdException w:name="heading 7" w:semiHidden="0" w:unhideWhenUsed="0"/>
    <w:lsdException w:name="heading 8" w:semiHidden="0" w:unhideWhenUsed="0"/>
    <w:lsdException w:name="heading 9" w:semiHidden="0"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lsdException w:name="Table Grid" w:semiHidden="0" w:uiPriority="59" w:unhideWhenUsed="0"/>
    <w:lsdException w:name="Placeholder Text" w:locked="0" w:unhideWhenUsed="0"/>
    <w:lsdException w:name="No Spacing" w:locked="0" w:semiHidden="0" w:uiPriority="1" w:unhideWhenUs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lsdException w:name="Intense Quote" w:locked="0" w:semiHidden="0" w:uiPriority="3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lsdException w:name="Intense Emphasis" w:locked="0" w:semiHidden="0" w:uiPriority="21" w:unhideWhenUsed="0"/>
    <w:lsdException w:name="Subtle Reference" w:locked="0" w:semiHidden="0" w:uiPriority="31" w:unhideWhenUsed="0"/>
    <w:lsdException w:name="Intense Reference" w:locked="0" w:semiHidden="0" w:uiPriority="32" w:unhideWhenUsed="0"/>
    <w:lsdException w:name="Book Title" w:locked="0" w:semiHidden="0" w:uiPriority="33" w:unhideWhenUsed="0"/>
    <w:lsdException w:name="Bibliography" w:locked="0" w:uiPriority="37"/>
    <w:lsdException w:name="TOC Heading" w:locked="0" w:semiHidden="0" w:uiPriority="39" w:unhideWhenUsed="0"/>
  </w:latentStyles>
  <w:style w:type="paragraph" w:default="1" w:styleId="Normln">
    <w:name w:val="Normal"/>
    <w:qFormat/>
    <w:rsid w:val="002160FF"/>
    <w:pPr>
      <w:spacing w:after="120" w:line="276" w:lineRule="auto"/>
      <w:jc w:val="both"/>
    </w:pPr>
    <w:rPr>
      <w:rFonts w:ascii="Arial" w:hAnsi="Arial"/>
      <w:sz w:val="22"/>
      <w:szCs w:val="24"/>
      <w:lang w:eastAsia="en-US"/>
    </w:rPr>
  </w:style>
  <w:style w:type="paragraph" w:styleId="Nadpis1">
    <w:name w:val="heading 1"/>
    <w:basedOn w:val="Normln"/>
    <w:next w:val="Nadpis2"/>
    <w:link w:val="Nadpis1Char"/>
    <w:uiPriority w:val="99"/>
    <w:qFormat/>
    <w:rsid w:val="00863C45"/>
    <w:pPr>
      <w:keepNext/>
      <w:numPr>
        <w:numId w:val="1"/>
      </w:numPr>
      <w:spacing w:before="480" w:after="60"/>
      <w:ind w:left="431" w:hanging="431"/>
      <w:outlineLvl w:val="0"/>
    </w:pPr>
    <w:rPr>
      <w:b/>
      <w:bCs/>
      <w:kern w:val="32"/>
      <w:sz w:val="28"/>
      <w:szCs w:val="28"/>
    </w:rPr>
  </w:style>
  <w:style w:type="paragraph" w:styleId="Nadpis2">
    <w:name w:val="heading 2"/>
    <w:basedOn w:val="Nadpis1"/>
    <w:link w:val="Nadpis2Char"/>
    <w:uiPriority w:val="99"/>
    <w:qFormat/>
    <w:rsid w:val="0072599B"/>
    <w:pPr>
      <w:numPr>
        <w:ilvl w:val="1"/>
      </w:numPr>
      <w:spacing w:before="240"/>
      <w:ind w:left="578" w:hanging="578"/>
      <w:outlineLvl w:val="1"/>
    </w:pPr>
    <w:rPr>
      <w:i/>
      <w:sz w:val="24"/>
      <w:szCs w:val="24"/>
    </w:rPr>
  </w:style>
  <w:style w:type="paragraph" w:styleId="Nadpis3">
    <w:name w:val="heading 3"/>
    <w:basedOn w:val="Normln"/>
    <w:next w:val="Normln"/>
    <w:link w:val="Nadpis3Char"/>
    <w:uiPriority w:val="99"/>
    <w:qFormat/>
    <w:rsid w:val="00743D58"/>
    <w:pPr>
      <w:keepNext/>
      <w:numPr>
        <w:ilvl w:val="2"/>
        <w:numId w:val="1"/>
      </w:numPr>
      <w:spacing w:before="240" w:after="60"/>
      <w:outlineLvl w:val="2"/>
    </w:pPr>
    <w:rPr>
      <w:b/>
      <w:bCs/>
      <w:i/>
      <w:iCs/>
    </w:rPr>
  </w:style>
  <w:style w:type="paragraph" w:styleId="Nadpis4">
    <w:name w:val="heading 4"/>
    <w:basedOn w:val="Normln"/>
    <w:next w:val="Normln"/>
    <w:link w:val="Nadpis4Char"/>
    <w:uiPriority w:val="99"/>
    <w:rsid w:val="00BE2B5F"/>
    <w:pPr>
      <w:keepNext/>
      <w:numPr>
        <w:ilvl w:val="3"/>
        <w:numId w:val="1"/>
      </w:numPr>
      <w:spacing w:before="240" w:after="60"/>
      <w:outlineLvl w:val="3"/>
    </w:pPr>
    <w:rPr>
      <w:sz w:val="28"/>
      <w:szCs w:val="28"/>
    </w:rPr>
  </w:style>
  <w:style w:type="paragraph" w:styleId="Nadpis5">
    <w:name w:val="heading 5"/>
    <w:basedOn w:val="Normln"/>
    <w:next w:val="Normln"/>
    <w:link w:val="Nadpis5Char"/>
    <w:uiPriority w:val="99"/>
    <w:rsid w:val="00BE2B5F"/>
    <w:pPr>
      <w:numPr>
        <w:ilvl w:val="4"/>
        <w:numId w:val="1"/>
      </w:numPr>
      <w:spacing w:before="240" w:after="60"/>
      <w:outlineLvl w:val="4"/>
    </w:pPr>
    <w:rPr>
      <w:i/>
      <w:iCs/>
      <w:sz w:val="26"/>
      <w:szCs w:val="26"/>
    </w:rPr>
  </w:style>
  <w:style w:type="paragraph" w:styleId="Nadpis6">
    <w:name w:val="heading 6"/>
    <w:basedOn w:val="Normln"/>
    <w:next w:val="Normln"/>
    <w:link w:val="Nadpis6Char"/>
    <w:uiPriority w:val="99"/>
    <w:rsid w:val="00BE2B5F"/>
    <w:pPr>
      <w:numPr>
        <w:ilvl w:val="5"/>
        <w:numId w:val="1"/>
      </w:numPr>
      <w:spacing w:before="240" w:after="60"/>
      <w:outlineLvl w:val="5"/>
    </w:pPr>
    <w:rPr>
      <w:szCs w:val="22"/>
    </w:rPr>
  </w:style>
  <w:style w:type="paragraph" w:styleId="Nadpis7">
    <w:name w:val="heading 7"/>
    <w:basedOn w:val="Normln"/>
    <w:next w:val="Normln"/>
    <w:link w:val="Nadpis7Char"/>
    <w:uiPriority w:val="99"/>
    <w:rsid w:val="00BE2B5F"/>
    <w:pPr>
      <w:numPr>
        <w:ilvl w:val="6"/>
        <w:numId w:val="1"/>
      </w:numPr>
      <w:spacing w:before="240" w:after="60"/>
      <w:outlineLvl w:val="6"/>
    </w:pPr>
  </w:style>
  <w:style w:type="paragraph" w:styleId="Nadpis8">
    <w:name w:val="heading 8"/>
    <w:basedOn w:val="Normln"/>
    <w:next w:val="Normln"/>
    <w:link w:val="Nadpis8Char"/>
    <w:uiPriority w:val="99"/>
    <w:rsid w:val="00BE2B5F"/>
    <w:pPr>
      <w:numPr>
        <w:ilvl w:val="7"/>
        <w:numId w:val="1"/>
      </w:numPr>
      <w:spacing w:before="240" w:after="60"/>
      <w:outlineLvl w:val="7"/>
    </w:pPr>
    <w:rPr>
      <w:i/>
      <w:iCs/>
    </w:rPr>
  </w:style>
  <w:style w:type="paragraph" w:styleId="Nadpis9">
    <w:name w:val="heading 9"/>
    <w:basedOn w:val="Normln"/>
    <w:next w:val="Normln"/>
    <w:link w:val="Nadpis9Char"/>
    <w:uiPriority w:val="99"/>
    <w:rsid w:val="00BE2B5F"/>
    <w:pPr>
      <w:numPr>
        <w:ilvl w:val="8"/>
        <w:numId w:val="1"/>
      </w:numPr>
      <w:spacing w:before="240" w:after="60"/>
      <w:outlineLvl w:val="8"/>
    </w:pPr>
    <w:rPr>
      <w:rFonts w:ascii="Cambria" w:hAnsi="Cambria" w:cs="Cambria"/>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863C45"/>
    <w:rPr>
      <w:rFonts w:ascii="Times New Roman" w:hAnsi="Times New Roman"/>
      <w:b/>
      <w:bCs/>
      <w:kern w:val="32"/>
      <w:sz w:val="28"/>
      <w:szCs w:val="28"/>
      <w:lang w:eastAsia="en-US"/>
    </w:rPr>
  </w:style>
  <w:style w:type="character" w:customStyle="1" w:styleId="Nadpis2Char">
    <w:name w:val="Nadpis 2 Char"/>
    <w:basedOn w:val="Standardnpsmoodstavce"/>
    <w:link w:val="Nadpis2"/>
    <w:uiPriority w:val="99"/>
    <w:locked/>
    <w:rsid w:val="0072599B"/>
    <w:rPr>
      <w:rFonts w:ascii="Times New Roman" w:hAnsi="Times New Roman"/>
      <w:b/>
      <w:bCs/>
      <w:i/>
      <w:kern w:val="32"/>
      <w:sz w:val="24"/>
      <w:szCs w:val="24"/>
      <w:lang w:eastAsia="en-US"/>
    </w:rPr>
  </w:style>
  <w:style w:type="character" w:customStyle="1" w:styleId="Nadpis3Char">
    <w:name w:val="Nadpis 3 Char"/>
    <w:basedOn w:val="Standardnpsmoodstavce"/>
    <w:link w:val="Nadpis3"/>
    <w:uiPriority w:val="99"/>
    <w:locked/>
    <w:rsid w:val="00743D58"/>
    <w:rPr>
      <w:rFonts w:ascii="Times New Roman" w:hAnsi="Times New Roman"/>
      <w:b/>
      <w:bCs/>
      <w:i/>
      <w:iCs/>
      <w:sz w:val="24"/>
      <w:szCs w:val="24"/>
      <w:lang w:eastAsia="en-US"/>
    </w:rPr>
  </w:style>
  <w:style w:type="character" w:customStyle="1" w:styleId="Nadpis4Char">
    <w:name w:val="Nadpis 4 Char"/>
    <w:basedOn w:val="Standardnpsmoodstavce"/>
    <w:link w:val="Nadpis4"/>
    <w:uiPriority w:val="99"/>
    <w:locked/>
    <w:rsid w:val="00BE2B5F"/>
    <w:rPr>
      <w:rFonts w:ascii="Times New Roman" w:hAnsi="Times New Roman"/>
      <w:sz w:val="28"/>
      <w:szCs w:val="28"/>
      <w:lang w:eastAsia="en-US"/>
    </w:rPr>
  </w:style>
  <w:style w:type="character" w:customStyle="1" w:styleId="Nadpis5Char">
    <w:name w:val="Nadpis 5 Char"/>
    <w:basedOn w:val="Standardnpsmoodstavce"/>
    <w:link w:val="Nadpis5"/>
    <w:uiPriority w:val="99"/>
    <w:locked/>
    <w:rsid w:val="00BE2B5F"/>
    <w:rPr>
      <w:rFonts w:ascii="Times New Roman" w:hAnsi="Times New Roman"/>
      <w:i/>
      <w:iCs/>
      <w:sz w:val="26"/>
      <w:szCs w:val="26"/>
      <w:lang w:eastAsia="en-US"/>
    </w:rPr>
  </w:style>
  <w:style w:type="character" w:customStyle="1" w:styleId="Nadpis6Char">
    <w:name w:val="Nadpis 6 Char"/>
    <w:basedOn w:val="Standardnpsmoodstavce"/>
    <w:link w:val="Nadpis6"/>
    <w:uiPriority w:val="99"/>
    <w:locked/>
    <w:rsid w:val="00BE2B5F"/>
    <w:rPr>
      <w:rFonts w:ascii="Times New Roman" w:hAnsi="Times New Roman"/>
      <w:sz w:val="22"/>
      <w:szCs w:val="22"/>
      <w:lang w:eastAsia="en-US"/>
    </w:rPr>
  </w:style>
  <w:style w:type="character" w:customStyle="1" w:styleId="Nadpis7Char">
    <w:name w:val="Nadpis 7 Char"/>
    <w:basedOn w:val="Standardnpsmoodstavce"/>
    <w:link w:val="Nadpis7"/>
    <w:uiPriority w:val="99"/>
    <w:locked/>
    <w:rsid w:val="00BE2B5F"/>
    <w:rPr>
      <w:rFonts w:ascii="Times New Roman" w:hAnsi="Times New Roman"/>
      <w:sz w:val="24"/>
      <w:szCs w:val="24"/>
      <w:lang w:eastAsia="en-US"/>
    </w:rPr>
  </w:style>
  <w:style w:type="character" w:customStyle="1" w:styleId="Nadpis8Char">
    <w:name w:val="Nadpis 8 Char"/>
    <w:basedOn w:val="Standardnpsmoodstavce"/>
    <w:link w:val="Nadpis8"/>
    <w:uiPriority w:val="99"/>
    <w:locked/>
    <w:rsid w:val="00BE2B5F"/>
    <w:rPr>
      <w:rFonts w:ascii="Times New Roman" w:hAnsi="Times New Roman"/>
      <w:i/>
      <w:iCs/>
      <w:sz w:val="24"/>
      <w:szCs w:val="24"/>
      <w:lang w:eastAsia="en-US"/>
    </w:rPr>
  </w:style>
  <w:style w:type="character" w:customStyle="1" w:styleId="Nadpis9Char">
    <w:name w:val="Nadpis 9 Char"/>
    <w:basedOn w:val="Standardnpsmoodstavce"/>
    <w:link w:val="Nadpis9"/>
    <w:uiPriority w:val="99"/>
    <w:locked/>
    <w:rsid w:val="00BE2B5F"/>
    <w:rPr>
      <w:rFonts w:ascii="Cambria" w:hAnsi="Cambria" w:cs="Cambria"/>
      <w:sz w:val="22"/>
      <w:szCs w:val="22"/>
      <w:lang w:eastAsia="en-US"/>
    </w:rPr>
  </w:style>
  <w:style w:type="character" w:styleId="Zvraznn">
    <w:name w:val="Emphasis"/>
    <w:basedOn w:val="Standardnpsmoodstavce"/>
    <w:uiPriority w:val="99"/>
    <w:rsid w:val="00BE2B5F"/>
    <w:rPr>
      <w:rFonts w:ascii="Calibri" w:hAnsi="Calibri" w:cs="Calibri"/>
      <w:b/>
      <w:bCs/>
      <w:i/>
      <w:iCs/>
    </w:rPr>
  </w:style>
  <w:style w:type="paragraph" w:styleId="Titulek">
    <w:name w:val="caption"/>
    <w:basedOn w:val="Normln"/>
    <w:next w:val="Normln"/>
    <w:uiPriority w:val="99"/>
    <w:qFormat/>
    <w:rsid w:val="00AA7E6E"/>
    <w:pPr>
      <w:spacing w:before="240"/>
    </w:pPr>
    <w:rPr>
      <w:b/>
      <w:bCs/>
      <w:spacing w:val="10"/>
      <w:sz w:val="18"/>
      <w:szCs w:val="18"/>
    </w:rPr>
  </w:style>
  <w:style w:type="paragraph" w:styleId="Nzev">
    <w:name w:val="Title"/>
    <w:basedOn w:val="Normln"/>
    <w:next w:val="Normln"/>
    <w:link w:val="NzevChar"/>
    <w:uiPriority w:val="10"/>
    <w:qFormat/>
    <w:rsid w:val="00FF1718"/>
    <w:pPr>
      <w:numPr>
        <w:numId w:val="7"/>
      </w:numPr>
      <w:spacing w:before="240" w:after="60"/>
      <w:ind w:left="357" w:hanging="357"/>
      <w:outlineLvl w:val="0"/>
    </w:pPr>
    <w:rPr>
      <w:rFonts w:cs="Cambria"/>
      <w:b/>
      <w:caps/>
      <w:kern w:val="28"/>
      <w:szCs w:val="32"/>
    </w:rPr>
  </w:style>
  <w:style w:type="character" w:customStyle="1" w:styleId="NzevChar">
    <w:name w:val="Název Char"/>
    <w:basedOn w:val="Standardnpsmoodstavce"/>
    <w:link w:val="Nzev"/>
    <w:uiPriority w:val="10"/>
    <w:locked/>
    <w:rsid w:val="00FF1718"/>
    <w:rPr>
      <w:rFonts w:ascii="Times New Roman" w:hAnsi="Times New Roman" w:cs="Cambria"/>
      <w:b/>
      <w:caps/>
      <w:kern w:val="28"/>
      <w:sz w:val="24"/>
      <w:szCs w:val="32"/>
      <w:lang w:eastAsia="en-US"/>
    </w:rPr>
  </w:style>
  <w:style w:type="paragraph" w:styleId="Podtitul">
    <w:name w:val="Subtitle"/>
    <w:basedOn w:val="Normln"/>
    <w:next w:val="Normln"/>
    <w:link w:val="PodtitulChar"/>
    <w:uiPriority w:val="11"/>
    <w:qFormat/>
    <w:rsid w:val="007754C0"/>
    <w:pPr>
      <w:keepNext/>
      <w:numPr>
        <w:numId w:val="8"/>
      </w:numPr>
      <w:spacing w:before="240"/>
      <w:outlineLvl w:val="1"/>
    </w:pPr>
    <w:rPr>
      <w:rFonts w:cs="Cambria"/>
      <w:b/>
    </w:rPr>
  </w:style>
  <w:style w:type="character" w:customStyle="1" w:styleId="PodtitulChar">
    <w:name w:val="Podtitul Char"/>
    <w:basedOn w:val="Standardnpsmoodstavce"/>
    <w:link w:val="Podtitul"/>
    <w:uiPriority w:val="11"/>
    <w:locked/>
    <w:rsid w:val="007754C0"/>
    <w:rPr>
      <w:rFonts w:ascii="Arial" w:hAnsi="Arial" w:cs="Cambria"/>
      <w:b/>
      <w:sz w:val="22"/>
      <w:szCs w:val="24"/>
      <w:lang w:eastAsia="en-US"/>
    </w:rPr>
  </w:style>
  <w:style w:type="character" w:styleId="Siln">
    <w:name w:val="Strong"/>
    <w:basedOn w:val="Standardnpsmoodstavce"/>
    <w:uiPriority w:val="99"/>
    <w:rsid w:val="00BE2B5F"/>
    <w:rPr>
      <w:b/>
      <w:bCs/>
    </w:rPr>
  </w:style>
  <w:style w:type="paragraph" w:styleId="Bezmezer">
    <w:name w:val="No Spacing"/>
    <w:basedOn w:val="Normln"/>
    <w:link w:val="BezmezerChar"/>
    <w:uiPriority w:val="99"/>
    <w:rsid w:val="00BE2B5F"/>
  </w:style>
  <w:style w:type="character" w:customStyle="1" w:styleId="BezmezerChar">
    <w:name w:val="Bez mezer Char"/>
    <w:basedOn w:val="Standardnpsmoodstavce"/>
    <w:link w:val="Bezmezer"/>
    <w:uiPriority w:val="99"/>
    <w:locked/>
    <w:rsid w:val="00BE2B5F"/>
    <w:rPr>
      <w:sz w:val="32"/>
      <w:szCs w:val="32"/>
    </w:rPr>
  </w:style>
  <w:style w:type="paragraph" w:styleId="Odstavecseseznamem">
    <w:name w:val="List Paragraph"/>
    <w:basedOn w:val="Normln"/>
    <w:uiPriority w:val="99"/>
    <w:qFormat/>
    <w:rsid w:val="00BE2B5F"/>
    <w:pPr>
      <w:ind w:left="720"/>
    </w:pPr>
  </w:style>
  <w:style w:type="paragraph" w:styleId="Citt">
    <w:name w:val="Quote"/>
    <w:basedOn w:val="Normln"/>
    <w:next w:val="Normln"/>
    <w:link w:val="CittChar"/>
    <w:uiPriority w:val="99"/>
    <w:rsid w:val="00BE2B5F"/>
    <w:rPr>
      <w:i/>
      <w:iCs/>
    </w:rPr>
  </w:style>
  <w:style w:type="character" w:customStyle="1" w:styleId="CittChar">
    <w:name w:val="Citát Char"/>
    <w:basedOn w:val="Standardnpsmoodstavce"/>
    <w:link w:val="Citt"/>
    <w:uiPriority w:val="99"/>
    <w:locked/>
    <w:rsid w:val="00BE2B5F"/>
    <w:rPr>
      <w:i/>
      <w:iCs/>
      <w:sz w:val="24"/>
      <w:szCs w:val="24"/>
    </w:rPr>
  </w:style>
  <w:style w:type="paragraph" w:styleId="Vrazncitt">
    <w:name w:val="Intense Quote"/>
    <w:basedOn w:val="Normln"/>
    <w:next w:val="Normln"/>
    <w:link w:val="VrazncittChar"/>
    <w:uiPriority w:val="99"/>
    <w:rsid w:val="00BE2B5F"/>
    <w:pPr>
      <w:ind w:left="720" w:right="720"/>
    </w:pPr>
    <w:rPr>
      <w:i/>
      <w:iCs/>
    </w:rPr>
  </w:style>
  <w:style w:type="character" w:customStyle="1" w:styleId="VrazncittChar">
    <w:name w:val="Výrazný citát Char"/>
    <w:basedOn w:val="Standardnpsmoodstavce"/>
    <w:link w:val="Vrazncitt"/>
    <w:uiPriority w:val="99"/>
    <w:locked/>
    <w:rsid w:val="00BE2B5F"/>
    <w:rPr>
      <w:b/>
      <w:bCs/>
      <w:i/>
      <w:iCs/>
      <w:sz w:val="24"/>
      <w:szCs w:val="24"/>
    </w:rPr>
  </w:style>
  <w:style w:type="character" w:styleId="Zdraznnjemn">
    <w:name w:val="Subtle Emphasis"/>
    <w:basedOn w:val="Standardnpsmoodstavce"/>
    <w:uiPriority w:val="99"/>
    <w:rsid w:val="00BE2B5F"/>
    <w:rPr>
      <w:i/>
      <w:iCs/>
      <w:color w:val="auto"/>
    </w:rPr>
  </w:style>
  <w:style w:type="character" w:styleId="Zdraznnintenzivn">
    <w:name w:val="Intense Emphasis"/>
    <w:basedOn w:val="Standardnpsmoodstavce"/>
    <w:uiPriority w:val="99"/>
    <w:rsid w:val="00BE2B5F"/>
    <w:rPr>
      <w:b/>
      <w:bCs/>
      <w:i/>
      <w:iCs/>
      <w:sz w:val="24"/>
      <w:szCs w:val="24"/>
      <w:u w:val="single"/>
    </w:rPr>
  </w:style>
  <w:style w:type="character" w:styleId="Odkazjemn">
    <w:name w:val="Subtle Reference"/>
    <w:basedOn w:val="Standardnpsmoodstavce"/>
    <w:uiPriority w:val="99"/>
    <w:rsid w:val="00BE2B5F"/>
    <w:rPr>
      <w:sz w:val="24"/>
      <w:szCs w:val="24"/>
      <w:u w:val="single"/>
    </w:rPr>
  </w:style>
  <w:style w:type="character" w:styleId="Odkazintenzivn">
    <w:name w:val="Intense Reference"/>
    <w:basedOn w:val="Standardnpsmoodstavce"/>
    <w:uiPriority w:val="99"/>
    <w:rsid w:val="00BE2B5F"/>
    <w:rPr>
      <w:b/>
      <w:bCs/>
      <w:sz w:val="24"/>
      <w:szCs w:val="24"/>
      <w:u w:val="single"/>
    </w:rPr>
  </w:style>
  <w:style w:type="character" w:styleId="Nzevknihy">
    <w:name w:val="Book Title"/>
    <w:basedOn w:val="Standardnpsmoodstavce"/>
    <w:uiPriority w:val="99"/>
    <w:rsid w:val="00BE2B5F"/>
    <w:rPr>
      <w:rFonts w:ascii="Cambria" w:hAnsi="Cambria" w:cs="Cambria"/>
      <w:b/>
      <w:bCs/>
      <w:i/>
      <w:iCs/>
      <w:sz w:val="24"/>
      <w:szCs w:val="24"/>
    </w:rPr>
  </w:style>
  <w:style w:type="paragraph" w:styleId="Nadpisobsahu">
    <w:name w:val="TOC Heading"/>
    <w:basedOn w:val="Nadpis1"/>
    <w:next w:val="Normln"/>
    <w:uiPriority w:val="99"/>
    <w:rsid w:val="00BE2B5F"/>
    <w:pPr>
      <w:outlineLvl w:val="9"/>
    </w:pPr>
  </w:style>
  <w:style w:type="character" w:styleId="Odkaznakoment">
    <w:name w:val="annotation reference"/>
    <w:aliases w:val="Značka poznámky"/>
    <w:basedOn w:val="Standardnpsmoodstavce"/>
    <w:uiPriority w:val="99"/>
    <w:semiHidden/>
    <w:rsid w:val="003C1EA7"/>
    <w:rPr>
      <w:sz w:val="16"/>
      <w:szCs w:val="16"/>
    </w:rPr>
  </w:style>
  <w:style w:type="paragraph" w:styleId="Textkomente">
    <w:name w:val="annotation text"/>
    <w:aliases w:val="Text poznámky"/>
    <w:basedOn w:val="Normln"/>
    <w:link w:val="TextkomenteChar"/>
    <w:uiPriority w:val="99"/>
    <w:semiHidden/>
    <w:rsid w:val="003C1EA7"/>
    <w:rPr>
      <w:sz w:val="20"/>
      <w:szCs w:val="20"/>
    </w:rPr>
  </w:style>
  <w:style w:type="character" w:customStyle="1" w:styleId="TextkomenteChar">
    <w:name w:val="Text komentáře Char"/>
    <w:aliases w:val="Text poznámky Char"/>
    <w:basedOn w:val="Standardnpsmoodstavce"/>
    <w:link w:val="Textkomente"/>
    <w:uiPriority w:val="99"/>
    <w:semiHidden/>
    <w:locked/>
    <w:rsid w:val="003C1EA7"/>
    <w:rPr>
      <w:rFonts w:ascii="Times New Roman" w:hAnsi="Times New Roman" w:cs="Times New Roman"/>
      <w:b/>
      <w:bCs/>
      <w:sz w:val="20"/>
      <w:szCs w:val="20"/>
    </w:rPr>
  </w:style>
  <w:style w:type="paragraph" w:styleId="Pedmtkomente">
    <w:name w:val="annotation subject"/>
    <w:basedOn w:val="Textkomente"/>
    <w:next w:val="Textkomente"/>
    <w:link w:val="PedmtkomenteChar"/>
    <w:uiPriority w:val="99"/>
    <w:semiHidden/>
    <w:rsid w:val="003C1EA7"/>
  </w:style>
  <w:style w:type="character" w:customStyle="1" w:styleId="PedmtkomenteChar">
    <w:name w:val="Předmět komentáře Char"/>
    <w:basedOn w:val="TextkomenteChar"/>
    <w:link w:val="Pedmtkomente"/>
    <w:uiPriority w:val="99"/>
    <w:semiHidden/>
    <w:locked/>
    <w:rsid w:val="003C1EA7"/>
    <w:rPr>
      <w:rFonts w:ascii="Times New Roman" w:hAnsi="Times New Roman" w:cs="Times New Roman"/>
      <w:b/>
      <w:bCs/>
      <w:sz w:val="20"/>
      <w:szCs w:val="20"/>
    </w:rPr>
  </w:style>
  <w:style w:type="paragraph" w:styleId="Textbubliny">
    <w:name w:val="Balloon Text"/>
    <w:basedOn w:val="Normln"/>
    <w:link w:val="TextbublinyChar"/>
    <w:uiPriority w:val="99"/>
    <w:semiHidden/>
    <w:rsid w:val="003C1EA7"/>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3C1EA7"/>
    <w:rPr>
      <w:rFonts w:ascii="Tahoma" w:hAnsi="Tahoma" w:cs="Tahoma"/>
      <w:b/>
      <w:bCs/>
      <w:sz w:val="16"/>
      <w:szCs w:val="16"/>
    </w:rPr>
  </w:style>
  <w:style w:type="paragraph" w:styleId="Zhlav">
    <w:name w:val="header"/>
    <w:basedOn w:val="Normln"/>
    <w:link w:val="ZhlavChar"/>
    <w:uiPriority w:val="99"/>
    <w:rsid w:val="00DF00F7"/>
    <w:pPr>
      <w:tabs>
        <w:tab w:val="center" w:pos="4536"/>
        <w:tab w:val="right" w:pos="9072"/>
      </w:tabs>
      <w:spacing w:line="240" w:lineRule="auto"/>
    </w:pPr>
  </w:style>
  <w:style w:type="character" w:customStyle="1" w:styleId="ZhlavChar">
    <w:name w:val="Záhlaví Char"/>
    <w:basedOn w:val="Standardnpsmoodstavce"/>
    <w:link w:val="Zhlav"/>
    <w:uiPriority w:val="99"/>
    <w:locked/>
    <w:rsid w:val="00DF00F7"/>
    <w:rPr>
      <w:rFonts w:ascii="Times New Roman" w:hAnsi="Times New Roman" w:cs="Times New Roman"/>
      <w:sz w:val="24"/>
      <w:szCs w:val="24"/>
    </w:rPr>
  </w:style>
  <w:style w:type="paragraph" w:styleId="Zpat">
    <w:name w:val="footer"/>
    <w:basedOn w:val="Normln"/>
    <w:link w:val="ZpatChar"/>
    <w:uiPriority w:val="99"/>
    <w:rsid w:val="00DF00F7"/>
    <w:pPr>
      <w:tabs>
        <w:tab w:val="center" w:pos="4536"/>
        <w:tab w:val="right" w:pos="9072"/>
      </w:tabs>
      <w:spacing w:line="240" w:lineRule="auto"/>
    </w:pPr>
  </w:style>
  <w:style w:type="character" w:customStyle="1" w:styleId="ZpatChar">
    <w:name w:val="Zápatí Char"/>
    <w:basedOn w:val="Standardnpsmoodstavce"/>
    <w:link w:val="Zpat"/>
    <w:uiPriority w:val="99"/>
    <w:locked/>
    <w:rsid w:val="00DF00F7"/>
    <w:rPr>
      <w:rFonts w:ascii="Times New Roman" w:hAnsi="Times New Roman" w:cs="Times New Roman"/>
      <w:sz w:val="24"/>
      <w:szCs w:val="24"/>
    </w:rPr>
  </w:style>
  <w:style w:type="paragraph" w:customStyle="1" w:styleId="Normln-tun">
    <w:name w:val="Normální - tučné"/>
    <w:basedOn w:val="Normln"/>
    <w:uiPriority w:val="99"/>
    <w:rsid w:val="00BF5353"/>
    <w:pPr>
      <w:spacing w:before="240"/>
    </w:pPr>
    <w:rPr>
      <w:b/>
      <w:bCs/>
    </w:rPr>
  </w:style>
  <w:style w:type="paragraph" w:customStyle="1" w:styleId="Zkon-podkapitola">
    <w:name w:val="Zákon-podkapitola"/>
    <w:basedOn w:val="Normln"/>
    <w:uiPriority w:val="99"/>
    <w:rsid w:val="00153E74"/>
    <w:pPr>
      <w:tabs>
        <w:tab w:val="num" w:pos="-180"/>
      </w:tabs>
      <w:spacing w:line="240" w:lineRule="auto"/>
      <w:ind w:left="-180" w:right="-648" w:hanging="360"/>
    </w:pPr>
    <w:rPr>
      <w:lang w:eastAsia="cs-CZ"/>
    </w:rPr>
  </w:style>
  <w:style w:type="paragraph" w:styleId="Revize">
    <w:name w:val="Revision"/>
    <w:hidden/>
    <w:uiPriority w:val="99"/>
    <w:semiHidden/>
    <w:rsid w:val="002471FC"/>
    <w:rPr>
      <w:rFonts w:ascii="Times New Roman" w:hAnsi="Times New Roman"/>
      <w:noProof/>
      <w:sz w:val="24"/>
      <w:szCs w:val="24"/>
      <w:lang w:eastAsia="en-US"/>
    </w:rPr>
  </w:style>
  <w:style w:type="paragraph" w:styleId="Normlnweb">
    <w:name w:val="Normal (Web)"/>
    <w:basedOn w:val="Normln"/>
    <w:uiPriority w:val="99"/>
    <w:semiHidden/>
    <w:rsid w:val="00BB3D11"/>
    <w:pPr>
      <w:spacing w:before="100" w:beforeAutospacing="1" w:after="100" w:afterAutospacing="1" w:line="240" w:lineRule="auto"/>
      <w:jc w:val="left"/>
    </w:pPr>
    <w:rPr>
      <w:lang w:eastAsia="cs-CZ"/>
    </w:rPr>
  </w:style>
  <w:style w:type="character" w:styleId="Hypertextovodkaz">
    <w:name w:val="Hyperlink"/>
    <w:basedOn w:val="Standardnpsmoodstavce"/>
    <w:uiPriority w:val="99"/>
    <w:semiHidden/>
    <w:rsid w:val="00BB3D11"/>
    <w:rPr>
      <w:color w:val="0000FF"/>
      <w:u w:val="single"/>
    </w:rPr>
  </w:style>
  <w:style w:type="paragraph" w:customStyle="1" w:styleId="Styl-NormlnsodrkouVlevo189cmPedsazen063cm">
    <w:name w:val="Styl - Normální s odrážkou + Vlevo:  189 cm Předsazení:  063 cm"/>
    <w:basedOn w:val="Normln"/>
    <w:uiPriority w:val="99"/>
    <w:rsid w:val="0013742B"/>
    <w:pPr>
      <w:numPr>
        <w:numId w:val="6"/>
      </w:numPr>
    </w:pPr>
  </w:style>
  <w:style w:type="character" w:styleId="Zstupntext">
    <w:name w:val="Placeholder Text"/>
    <w:basedOn w:val="Standardnpsmoodstavce"/>
    <w:uiPriority w:val="99"/>
    <w:semiHidden/>
    <w:rsid w:val="00D713B7"/>
    <w:rPr>
      <w:color w:val="808080"/>
    </w:rPr>
  </w:style>
  <w:style w:type="character" w:customStyle="1" w:styleId="st">
    <w:name w:val="st"/>
    <w:basedOn w:val="Standardnpsmoodstavce"/>
    <w:rsid w:val="004A709D"/>
  </w:style>
  <w:style w:type="table" w:styleId="Mkatabulky">
    <w:name w:val="Table Grid"/>
    <w:basedOn w:val="Normlntabulka"/>
    <w:uiPriority w:val="59"/>
    <w:locked/>
    <w:rsid w:val="00D827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lntun">
    <w:name w:val="Normální tučný"/>
    <w:basedOn w:val="Normln"/>
    <w:next w:val="Normln"/>
    <w:qFormat/>
    <w:rsid w:val="00276D40"/>
    <w:pPr>
      <w:keepNext/>
      <w:spacing w:before="240"/>
    </w:pPr>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cs-CZ" w:eastAsia="cs-CZ"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lsdException w:name="heading 5" w:semiHidden="0" w:unhideWhenUsed="0"/>
    <w:lsdException w:name="heading 6" w:semiHidden="0" w:unhideWhenUsed="0"/>
    <w:lsdException w:name="heading 7" w:semiHidden="0" w:unhideWhenUsed="0"/>
    <w:lsdException w:name="heading 8" w:semiHidden="0" w:unhideWhenUsed="0"/>
    <w:lsdException w:name="heading 9" w:semiHidden="0"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lsdException w:name="Table Grid" w:semiHidden="0" w:uiPriority="59" w:unhideWhenUsed="0"/>
    <w:lsdException w:name="Placeholder Text" w:locked="0" w:unhideWhenUsed="0"/>
    <w:lsdException w:name="No Spacing" w:locked="0" w:semiHidden="0" w:uiPriority="1" w:unhideWhenUs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lsdException w:name="Intense Quote" w:locked="0" w:semiHidden="0" w:uiPriority="3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lsdException w:name="Intense Emphasis" w:locked="0" w:semiHidden="0" w:uiPriority="21" w:unhideWhenUsed="0"/>
    <w:lsdException w:name="Subtle Reference" w:locked="0" w:semiHidden="0" w:uiPriority="31" w:unhideWhenUsed="0"/>
    <w:lsdException w:name="Intense Reference" w:locked="0" w:semiHidden="0" w:uiPriority="32" w:unhideWhenUsed="0"/>
    <w:lsdException w:name="Book Title" w:locked="0" w:semiHidden="0" w:uiPriority="33" w:unhideWhenUsed="0"/>
    <w:lsdException w:name="Bibliography" w:locked="0" w:uiPriority="37"/>
    <w:lsdException w:name="TOC Heading" w:locked="0" w:semiHidden="0" w:uiPriority="39" w:unhideWhenUsed="0"/>
  </w:latentStyles>
  <w:style w:type="paragraph" w:default="1" w:styleId="Normln">
    <w:name w:val="Normal"/>
    <w:qFormat/>
    <w:rsid w:val="002160FF"/>
    <w:pPr>
      <w:spacing w:after="120" w:line="276" w:lineRule="auto"/>
      <w:jc w:val="both"/>
    </w:pPr>
    <w:rPr>
      <w:rFonts w:ascii="Arial" w:hAnsi="Arial"/>
      <w:sz w:val="22"/>
      <w:szCs w:val="24"/>
      <w:lang w:eastAsia="en-US"/>
    </w:rPr>
  </w:style>
  <w:style w:type="paragraph" w:styleId="Nadpis1">
    <w:name w:val="heading 1"/>
    <w:basedOn w:val="Normln"/>
    <w:next w:val="Nadpis2"/>
    <w:link w:val="Nadpis1Char"/>
    <w:uiPriority w:val="99"/>
    <w:qFormat/>
    <w:rsid w:val="00863C45"/>
    <w:pPr>
      <w:keepNext/>
      <w:numPr>
        <w:numId w:val="1"/>
      </w:numPr>
      <w:spacing w:before="480" w:after="60"/>
      <w:ind w:left="431" w:hanging="431"/>
      <w:outlineLvl w:val="0"/>
    </w:pPr>
    <w:rPr>
      <w:b/>
      <w:bCs/>
      <w:kern w:val="32"/>
      <w:sz w:val="28"/>
      <w:szCs w:val="28"/>
    </w:rPr>
  </w:style>
  <w:style w:type="paragraph" w:styleId="Nadpis2">
    <w:name w:val="heading 2"/>
    <w:basedOn w:val="Nadpis1"/>
    <w:link w:val="Nadpis2Char"/>
    <w:uiPriority w:val="99"/>
    <w:qFormat/>
    <w:rsid w:val="0072599B"/>
    <w:pPr>
      <w:numPr>
        <w:ilvl w:val="1"/>
      </w:numPr>
      <w:spacing w:before="240"/>
      <w:ind w:left="578" w:hanging="578"/>
      <w:outlineLvl w:val="1"/>
    </w:pPr>
    <w:rPr>
      <w:i/>
      <w:sz w:val="24"/>
      <w:szCs w:val="24"/>
    </w:rPr>
  </w:style>
  <w:style w:type="paragraph" w:styleId="Nadpis3">
    <w:name w:val="heading 3"/>
    <w:basedOn w:val="Normln"/>
    <w:next w:val="Normln"/>
    <w:link w:val="Nadpis3Char"/>
    <w:uiPriority w:val="99"/>
    <w:qFormat/>
    <w:rsid w:val="00743D58"/>
    <w:pPr>
      <w:keepNext/>
      <w:numPr>
        <w:ilvl w:val="2"/>
        <w:numId w:val="1"/>
      </w:numPr>
      <w:spacing w:before="240" w:after="60"/>
      <w:outlineLvl w:val="2"/>
    </w:pPr>
    <w:rPr>
      <w:b/>
      <w:bCs/>
      <w:i/>
      <w:iCs/>
    </w:rPr>
  </w:style>
  <w:style w:type="paragraph" w:styleId="Nadpis4">
    <w:name w:val="heading 4"/>
    <w:basedOn w:val="Normln"/>
    <w:next w:val="Normln"/>
    <w:link w:val="Nadpis4Char"/>
    <w:uiPriority w:val="99"/>
    <w:rsid w:val="00BE2B5F"/>
    <w:pPr>
      <w:keepNext/>
      <w:numPr>
        <w:ilvl w:val="3"/>
        <w:numId w:val="1"/>
      </w:numPr>
      <w:spacing w:before="240" w:after="60"/>
      <w:outlineLvl w:val="3"/>
    </w:pPr>
    <w:rPr>
      <w:sz w:val="28"/>
      <w:szCs w:val="28"/>
    </w:rPr>
  </w:style>
  <w:style w:type="paragraph" w:styleId="Nadpis5">
    <w:name w:val="heading 5"/>
    <w:basedOn w:val="Normln"/>
    <w:next w:val="Normln"/>
    <w:link w:val="Nadpis5Char"/>
    <w:uiPriority w:val="99"/>
    <w:rsid w:val="00BE2B5F"/>
    <w:pPr>
      <w:numPr>
        <w:ilvl w:val="4"/>
        <w:numId w:val="1"/>
      </w:numPr>
      <w:spacing w:before="240" w:after="60"/>
      <w:outlineLvl w:val="4"/>
    </w:pPr>
    <w:rPr>
      <w:i/>
      <w:iCs/>
      <w:sz w:val="26"/>
      <w:szCs w:val="26"/>
    </w:rPr>
  </w:style>
  <w:style w:type="paragraph" w:styleId="Nadpis6">
    <w:name w:val="heading 6"/>
    <w:basedOn w:val="Normln"/>
    <w:next w:val="Normln"/>
    <w:link w:val="Nadpis6Char"/>
    <w:uiPriority w:val="99"/>
    <w:rsid w:val="00BE2B5F"/>
    <w:pPr>
      <w:numPr>
        <w:ilvl w:val="5"/>
        <w:numId w:val="1"/>
      </w:numPr>
      <w:spacing w:before="240" w:after="60"/>
      <w:outlineLvl w:val="5"/>
    </w:pPr>
    <w:rPr>
      <w:szCs w:val="22"/>
    </w:rPr>
  </w:style>
  <w:style w:type="paragraph" w:styleId="Nadpis7">
    <w:name w:val="heading 7"/>
    <w:basedOn w:val="Normln"/>
    <w:next w:val="Normln"/>
    <w:link w:val="Nadpis7Char"/>
    <w:uiPriority w:val="99"/>
    <w:rsid w:val="00BE2B5F"/>
    <w:pPr>
      <w:numPr>
        <w:ilvl w:val="6"/>
        <w:numId w:val="1"/>
      </w:numPr>
      <w:spacing w:before="240" w:after="60"/>
      <w:outlineLvl w:val="6"/>
    </w:pPr>
  </w:style>
  <w:style w:type="paragraph" w:styleId="Nadpis8">
    <w:name w:val="heading 8"/>
    <w:basedOn w:val="Normln"/>
    <w:next w:val="Normln"/>
    <w:link w:val="Nadpis8Char"/>
    <w:uiPriority w:val="99"/>
    <w:rsid w:val="00BE2B5F"/>
    <w:pPr>
      <w:numPr>
        <w:ilvl w:val="7"/>
        <w:numId w:val="1"/>
      </w:numPr>
      <w:spacing w:before="240" w:after="60"/>
      <w:outlineLvl w:val="7"/>
    </w:pPr>
    <w:rPr>
      <w:i/>
      <w:iCs/>
    </w:rPr>
  </w:style>
  <w:style w:type="paragraph" w:styleId="Nadpis9">
    <w:name w:val="heading 9"/>
    <w:basedOn w:val="Normln"/>
    <w:next w:val="Normln"/>
    <w:link w:val="Nadpis9Char"/>
    <w:uiPriority w:val="99"/>
    <w:rsid w:val="00BE2B5F"/>
    <w:pPr>
      <w:numPr>
        <w:ilvl w:val="8"/>
        <w:numId w:val="1"/>
      </w:numPr>
      <w:spacing w:before="240" w:after="60"/>
      <w:outlineLvl w:val="8"/>
    </w:pPr>
    <w:rPr>
      <w:rFonts w:ascii="Cambria" w:hAnsi="Cambria" w:cs="Cambria"/>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863C45"/>
    <w:rPr>
      <w:rFonts w:ascii="Times New Roman" w:hAnsi="Times New Roman"/>
      <w:b/>
      <w:bCs/>
      <w:kern w:val="32"/>
      <w:sz w:val="28"/>
      <w:szCs w:val="28"/>
      <w:lang w:eastAsia="en-US"/>
    </w:rPr>
  </w:style>
  <w:style w:type="character" w:customStyle="1" w:styleId="Nadpis2Char">
    <w:name w:val="Nadpis 2 Char"/>
    <w:basedOn w:val="Standardnpsmoodstavce"/>
    <w:link w:val="Nadpis2"/>
    <w:uiPriority w:val="99"/>
    <w:locked/>
    <w:rsid w:val="0072599B"/>
    <w:rPr>
      <w:rFonts w:ascii="Times New Roman" w:hAnsi="Times New Roman"/>
      <w:b/>
      <w:bCs/>
      <w:i/>
      <w:kern w:val="32"/>
      <w:sz w:val="24"/>
      <w:szCs w:val="24"/>
      <w:lang w:eastAsia="en-US"/>
    </w:rPr>
  </w:style>
  <w:style w:type="character" w:customStyle="1" w:styleId="Nadpis3Char">
    <w:name w:val="Nadpis 3 Char"/>
    <w:basedOn w:val="Standardnpsmoodstavce"/>
    <w:link w:val="Nadpis3"/>
    <w:uiPriority w:val="99"/>
    <w:locked/>
    <w:rsid w:val="00743D58"/>
    <w:rPr>
      <w:rFonts w:ascii="Times New Roman" w:hAnsi="Times New Roman"/>
      <w:b/>
      <w:bCs/>
      <w:i/>
      <w:iCs/>
      <w:sz w:val="24"/>
      <w:szCs w:val="24"/>
      <w:lang w:eastAsia="en-US"/>
    </w:rPr>
  </w:style>
  <w:style w:type="character" w:customStyle="1" w:styleId="Nadpis4Char">
    <w:name w:val="Nadpis 4 Char"/>
    <w:basedOn w:val="Standardnpsmoodstavce"/>
    <w:link w:val="Nadpis4"/>
    <w:uiPriority w:val="99"/>
    <w:locked/>
    <w:rsid w:val="00BE2B5F"/>
    <w:rPr>
      <w:rFonts w:ascii="Times New Roman" w:hAnsi="Times New Roman"/>
      <w:sz w:val="28"/>
      <w:szCs w:val="28"/>
      <w:lang w:eastAsia="en-US"/>
    </w:rPr>
  </w:style>
  <w:style w:type="character" w:customStyle="1" w:styleId="Nadpis5Char">
    <w:name w:val="Nadpis 5 Char"/>
    <w:basedOn w:val="Standardnpsmoodstavce"/>
    <w:link w:val="Nadpis5"/>
    <w:uiPriority w:val="99"/>
    <w:locked/>
    <w:rsid w:val="00BE2B5F"/>
    <w:rPr>
      <w:rFonts w:ascii="Times New Roman" w:hAnsi="Times New Roman"/>
      <w:i/>
      <w:iCs/>
      <w:sz w:val="26"/>
      <w:szCs w:val="26"/>
      <w:lang w:eastAsia="en-US"/>
    </w:rPr>
  </w:style>
  <w:style w:type="character" w:customStyle="1" w:styleId="Nadpis6Char">
    <w:name w:val="Nadpis 6 Char"/>
    <w:basedOn w:val="Standardnpsmoodstavce"/>
    <w:link w:val="Nadpis6"/>
    <w:uiPriority w:val="99"/>
    <w:locked/>
    <w:rsid w:val="00BE2B5F"/>
    <w:rPr>
      <w:rFonts w:ascii="Times New Roman" w:hAnsi="Times New Roman"/>
      <w:sz w:val="22"/>
      <w:szCs w:val="22"/>
      <w:lang w:eastAsia="en-US"/>
    </w:rPr>
  </w:style>
  <w:style w:type="character" w:customStyle="1" w:styleId="Nadpis7Char">
    <w:name w:val="Nadpis 7 Char"/>
    <w:basedOn w:val="Standardnpsmoodstavce"/>
    <w:link w:val="Nadpis7"/>
    <w:uiPriority w:val="99"/>
    <w:locked/>
    <w:rsid w:val="00BE2B5F"/>
    <w:rPr>
      <w:rFonts w:ascii="Times New Roman" w:hAnsi="Times New Roman"/>
      <w:sz w:val="24"/>
      <w:szCs w:val="24"/>
      <w:lang w:eastAsia="en-US"/>
    </w:rPr>
  </w:style>
  <w:style w:type="character" w:customStyle="1" w:styleId="Nadpis8Char">
    <w:name w:val="Nadpis 8 Char"/>
    <w:basedOn w:val="Standardnpsmoodstavce"/>
    <w:link w:val="Nadpis8"/>
    <w:uiPriority w:val="99"/>
    <w:locked/>
    <w:rsid w:val="00BE2B5F"/>
    <w:rPr>
      <w:rFonts w:ascii="Times New Roman" w:hAnsi="Times New Roman"/>
      <w:i/>
      <w:iCs/>
      <w:sz w:val="24"/>
      <w:szCs w:val="24"/>
      <w:lang w:eastAsia="en-US"/>
    </w:rPr>
  </w:style>
  <w:style w:type="character" w:customStyle="1" w:styleId="Nadpis9Char">
    <w:name w:val="Nadpis 9 Char"/>
    <w:basedOn w:val="Standardnpsmoodstavce"/>
    <w:link w:val="Nadpis9"/>
    <w:uiPriority w:val="99"/>
    <w:locked/>
    <w:rsid w:val="00BE2B5F"/>
    <w:rPr>
      <w:rFonts w:ascii="Cambria" w:hAnsi="Cambria" w:cs="Cambria"/>
      <w:sz w:val="22"/>
      <w:szCs w:val="22"/>
      <w:lang w:eastAsia="en-US"/>
    </w:rPr>
  </w:style>
  <w:style w:type="character" w:styleId="Zvraznn">
    <w:name w:val="Emphasis"/>
    <w:basedOn w:val="Standardnpsmoodstavce"/>
    <w:uiPriority w:val="99"/>
    <w:rsid w:val="00BE2B5F"/>
    <w:rPr>
      <w:rFonts w:ascii="Calibri" w:hAnsi="Calibri" w:cs="Calibri"/>
      <w:b/>
      <w:bCs/>
      <w:i/>
      <w:iCs/>
    </w:rPr>
  </w:style>
  <w:style w:type="paragraph" w:styleId="Titulek">
    <w:name w:val="caption"/>
    <w:basedOn w:val="Normln"/>
    <w:next w:val="Normln"/>
    <w:uiPriority w:val="99"/>
    <w:qFormat/>
    <w:rsid w:val="00AA7E6E"/>
    <w:pPr>
      <w:spacing w:before="240"/>
    </w:pPr>
    <w:rPr>
      <w:b/>
      <w:bCs/>
      <w:spacing w:val="10"/>
      <w:sz w:val="18"/>
      <w:szCs w:val="18"/>
    </w:rPr>
  </w:style>
  <w:style w:type="paragraph" w:styleId="Nzev">
    <w:name w:val="Title"/>
    <w:basedOn w:val="Normln"/>
    <w:next w:val="Normln"/>
    <w:link w:val="NzevChar"/>
    <w:uiPriority w:val="10"/>
    <w:qFormat/>
    <w:rsid w:val="00FF1718"/>
    <w:pPr>
      <w:numPr>
        <w:numId w:val="7"/>
      </w:numPr>
      <w:spacing w:before="240" w:after="60"/>
      <w:ind w:left="357" w:hanging="357"/>
      <w:outlineLvl w:val="0"/>
    </w:pPr>
    <w:rPr>
      <w:rFonts w:cs="Cambria"/>
      <w:b/>
      <w:caps/>
      <w:kern w:val="28"/>
      <w:szCs w:val="32"/>
    </w:rPr>
  </w:style>
  <w:style w:type="character" w:customStyle="1" w:styleId="NzevChar">
    <w:name w:val="Název Char"/>
    <w:basedOn w:val="Standardnpsmoodstavce"/>
    <w:link w:val="Nzev"/>
    <w:uiPriority w:val="10"/>
    <w:locked/>
    <w:rsid w:val="00FF1718"/>
    <w:rPr>
      <w:rFonts w:ascii="Times New Roman" w:hAnsi="Times New Roman" w:cs="Cambria"/>
      <w:b/>
      <w:caps/>
      <w:kern w:val="28"/>
      <w:sz w:val="24"/>
      <w:szCs w:val="32"/>
      <w:lang w:eastAsia="en-US"/>
    </w:rPr>
  </w:style>
  <w:style w:type="paragraph" w:styleId="Podtitul">
    <w:name w:val="Subtitle"/>
    <w:basedOn w:val="Normln"/>
    <w:next w:val="Normln"/>
    <w:link w:val="PodtitulChar"/>
    <w:uiPriority w:val="11"/>
    <w:qFormat/>
    <w:rsid w:val="007754C0"/>
    <w:pPr>
      <w:keepNext/>
      <w:numPr>
        <w:numId w:val="8"/>
      </w:numPr>
      <w:spacing w:before="240"/>
      <w:outlineLvl w:val="1"/>
    </w:pPr>
    <w:rPr>
      <w:rFonts w:cs="Cambria"/>
      <w:b/>
    </w:rPr>
  </w:style>
  <w:style w:type="character" w:customStyle="1" w:styleId="PodtitulChar">
    <w:name w:val="Podtitul Char"/>
    <w:basedOn w:val="Standardnpsmoodstavce"/>
    <w:link w:val="Podtitul"/>
    <w:uiPriority w:val="11"/>
    <w:locked/>
    <w:rsid w:val="007754C0"/>
    <w:rPr>
      <w:rFonts w:ascii="Arial" w:hAnsi="Arial" w:cs="Cambria"/>
      <w:b/>
      <w:sz w:val="22"/>
      <w:szCs w:val="24"/>
      <w:lang w:eastAsia="en-US"/>
    </w:rPr>
  </w:style>
  <w:style w:type="character" w:styleId="Siln">
    <w:name w:val="Strong"/>
    <w:basedOn w:val="Standardnpsmoodstavce"/>
    <w:uiPriority w:val="99"/>
    <w:rsid w:val="00BE2B5F"/>
    <w:rPr>
      <w:b/>
      <w:bCs/>
    </w:rPr>
  </w:style>
  <w:style w:type="paragraph" w:styleId="Bezmezer">
    <w:name w:val="No Spacing"/>
    <w:basedOn w:val="Normln"/>
    <w:link w:val="BezmezerChar"/>
    <w:uiPriority w:val="99"/>
    <w:rsid w:val="00BE2B5F"/>
  </w:style>
  <w:style w:type="character" w:customStyle="1" w:styleId="BezmezerChar">
    <w:name w:val="Bez mezer Char"/>
    <w:basedOn w:val="Standardnpsmoodstavce"/>
    <w:link w:val="Bezmezer"/>
    <w:uiPriority w:val="99"/>
    <w:locked/>
    <w:rsid w:val="00BE2B5F"/>
    <w:rPr>
      <w:sz w:val="32"/>
      <w:szCs w:val="32"/>
    </w:rPr>
  </w:style>
  <w:style w:type="paragraph" w:styleId="Odstavecseseznamem">
    <w:name w:val="List Paragraph"/>
    <w:basedOn w:val="Normln"/>
    <w:uiPriority w:val="99"/>
    <w:qFormat/>
    <w:rsid w:val="00BE2B5F"/>
    <w:pPr>
      <w:ind w:left="720"/>
    </w:pPr>
  </w:style>
  <w:style w:type="paragraph" w:styleId="Citt">
    <w:name w:val="Quote"/>
    <w:basedOn w:val="Normln"/>
    <w:next w:val="Normln"/>
    <w:link w:val="CittChar"/>
    <w:uiPriority w:val="99"/>
    <w:rsid w:val="00BE2B5F"/>
    <w:rPr>
      <w:i/>
      <w:iCs/>
    </w:rPr>
  </w:style>
  <w:style w:type="character" w:customStyle="1" w:styleId="CittChar">
    <w:name w:val="Citát Char"/>
    <w:basedOn w:val="Standardnpsmoodstavce"/>
    <w:link w:val="Citt"/>
    <w:uiPriority w:val="99"/>
    <w:locked/>
    <w:rsid w:val="00BE2B5F"/>
    <w:rPr>
      <w:i/>
      <w:iCs/>
      <w:sz w:val="24"/>
      <w:szCs w:val="24"/>
    </w:rPr>
  </w:style>
  <w:style w:type="paragraph" w:styleId="Vrazncitt">
    <w:name w:val="Intense Quote"/>
    <w:basedOn w:val="Normln"/>
    <w:next w:val="Normln"/>
    <w:link w:val="VrazncittChar"/>
    <w:uiPriority w:val="99"/>
    <w:rsid w:val="00BE2B5F"/>
    <w:pPr>
      <w:ind w:left="720" w:right="720"/>
    </w:pPr>
    <w:rPr>
      <w:i/>
      <w:iCs/>
    </w:rPr>
  </w:style>
  <w:style w:type="character" w:customStyle="1" w:styleId="VrazncittChar">
    <w:name w:val="Výrazný citát Char"/>
    <w:basedOn w:val="Standardnpsmoodstavce"/>
    <w:link w:val="Vrazncitt"/>
    <w:uiPriority w:val="99"/>
    <w:locked/>
    <w:rsid w:val="00BE2B5F"/>
    <w:rPr>
      <w:b/>
      <w:bCs/>
      <w:i/>
      <w:iCs/>
      <w:sz w:val="24"/>
      <w:szCs w:val="24"/>
    </w:rPr>
  </w:style>
  <w:style w:type="character" w:styleId="Zdraznnjemn">
    <w:name w:val="Subtle Emphasis"/>
    <w:basedOn w:val="Standardnpsmoodstavce"/>
    <w:uiPriority w:val="99"/>
    <w:rsid w:val="00BE2B5F"/>
    <w:rPr>
      <w:i/>
      <w:iCs/>
      <w:color w:val="auto"/>
    </w:rPr>
  </w:style>
  <w:style w:type="character" w:styleId="Zdraznnintenzivn">
    <w:name w:val="Intense Emphasis"/>
    <w:basedOn w:val="Standardnpsmoodstavce"/>
    <w:uiPriority w:val="99"/>
    <w:rsid w:val="00BE2B5F"/>
    <w:rPr>
      <w:b/>
      <w:bCs/>
      <w:i/>
      <w:iCs/>
      <w:sz w:val="24"/>
      <w:szCs w:val="24"/>
      <w:u w:val="single"/>
    </w:rPr>
  </w:style>
  <w:style w:type="character" w:styleId="Odkazjemn">
    <w:name w:val="Subtle Reference"/>
    <w:basedOn w:val="Standardnpsmoodstavce"/>
    <w:uiPriority w:val="99"/>
    <w:rsid w:val="00BE2B5F"/>
    <w:rPr>
      <w:sz w:val="24"/>
      <w:szCs w:val="24"/>
      <w:u w:val="single"/>
    </w:rPr>
  </w:style>
  <w:style w:type="character" w:styleId="Odkazintenzivn">
    <w:name w:val="Intense Reference"/>
    <w:basedOn w:val="Standardnpsmoodstavce"/>
    <w:uiPriority w:val="99"/>
    <w:rsid w:val="00BE2B5F"/>
    <w:rPr>
      <w:b/>
      <w:bCs/>
      <w:sz w:val="24"/>
      <w:szCs w:val="24"/>
      <w:u w:val="single"/>
    </w:rPr>
  </w:style>
  <w:style w:type="character" w:styleId="Nzevknihy">
    <w:name w:val="Book Title"/>
    <w:basedOn w:val="Standardnpsmoodstavce"/>
    <w:uiPriority w:val="99"/>
    <w:rsid w:val="00BE2B5F"/>
    <w:rPr>
      <w:rFonts w:ascii="Cambria" w:hAnsi="Cambria" w:cs="Cambria"/>
      <w:b/>
      <w:bCs/>
      <w:i/>
      <w:iCs/>
      <w:sz w:val="24"/>
      <w:szCs w:val="24"/>
    </w:rPr>
  </w:style>
  <w:style w:type="paragraph" w:styleId="Nadpisobsahu">
    <w:name w:val="TOC Heading"/>
    <w:basedOn w:val="Nadpis1"/>
    <w:next w:val="Normln"/>
    <w:uiPriority w:val="99"/>
    <w:rsid w:val="00BE2B5F"/>
    <w:pPr>
      <w:outlineLvl w:val="9"/>
    </w:pPr>
  </w:style>
  <w:style w:type="character" w:styleId="Odkaznakoment">
    <w:name w:val="annotation reference"/>
    <w:aliases w:val="Značka poznámky"/>
    <w:basedOn w:val="Standardnpsmoodstavce"/>
    <w:uiPriority w:val="99"/>
    <w:semiHidden/>
    <w:rsid w:val="003C1EA7"/>
    <w:rPr>
      <w:sz w:val="16"/>
      <w:szCs w:val="16"/>
    </w:rPr>
  </w:style>
  <w:style w:type="paragraph" w:styleId="Textkomente">
    <w:name w:val="annotation text"/>
    <w:aliases w:val="Text poznámky"/>
    <w:basedOn w:val="Normln"/>
    <w:link w:val="TextkomenteChar"/>
    <w:uiPriority w:val="99"/>
    <w:semiHidden/>
    <w:rsid w:val="003C1EA7"/>
    <w:rPr>
      <w:sz w:val="20"/>
      <w:szCs w:val="20"/>
    </w:rPr>
  </w:style>
  <w:style w:type="character" w:customStyle="1" w:styleId="TextkomenteChar">
    <w:name w:val="Text komentáře Char"/>
    <w:aliases w:val="Text poznámky Char"/>
    <w:basedOn w:val="Standardnpsmoodstavce"/>
    <w:link w:val="Textkomente"/>
    <w:uiPriority w:val="99"/>
    <w:semiHidden/>
    <w:locked/>
    <w:rsid w:val="003C1EA7"/>
    <w:rPr>
      <w:rFonts w:ascii="Times New Roman" w:hAnsi="Times New Roman" w:cs="Times New Roman"/>
      <w:b/>
      <w:bCs/>
      <w:sz w:val="20"/>
      <w:szCs w:val="20"/>
    </w:rPr>
  </w:style>
  <w:style w:type="paragraph" w:styleId="Pedmtkomente">
    <w:name w:val="annotation subject"/>
    <w:basedOn w:val="Textkomente"/>
    <w:next w:val="Textkomente"/>
    <w:link w:val="PedmtkomenteChar"/>
    <w:uiPriority w:val="99"/>
    <w:semiHidden/>
    <w:rsid w:val="003C1EA7"/>
  </w:style>
  <w:style w:type="character" w:customStyle="1" w:styleId="PedmtkomenteChar">
    <w:name w:val="Předmět komentáře Char"/>
    <w:basedOn w:val="TextkomenteChar"/>
    <w:link w:val="Pedmtkomente"/>
    <w:uiPriority w:val="99"/>
    <w:semiHidden/>
    <w:locked/>
    <w:rsid w:val="003C1EA7"/>
    <w:rPr>
      <w:rFonts w:ascii="Times New Roman" w:hAnsi="Times New Roman" w:cs="Times New Roman"/>
      <w:b/>
      <w:bCs/>
      <w:sz w:val="20"/>
      <w:szCs w:val="20"/>
    </w:rPr>
  </w:style>
  <w:style w:type="paragraph" w:styleId="Textbubliny">
    <w:name w:val="Balloon Text"/>
    <w:basedOn w:val="Normln"/>
    <w:link w:val="TextbublinyChar"/>
    <w:uiPriority w:val="99"/>
    <w:semiHidden/>
    <w:rsid w:val="003C1EA7"/>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3C1EA7"/>
    <w:rPr>
      <w:rFonts w:ascii="Tahoma" w:hAnsi="Tahoma" w:cs="Tahoma"/>
      <w:b/>
      <w:bCs/>
      <w:sz w:val="16"/>
      <w:szCs w:val="16"/>
    </w:rPr>
  </w:style>
  <w:style w:type="paragraph" w:styleId="Zhlav">
    <w:name w:val="header"/>
    <w:basedOn w:val="Normln"/>
    <w:link w:val="ZhlavChar"/>
    <w:uiPriority w:val="99"/>
    <w:rsid w:val="00DF00F7"/>
    <w:pPr>
      <w:tabs>
        <w:tab w:val="center" w:pos="4536"/>
        <w:tab w:val="right" w:pos="9072"/>
      </w:tabs>
      <w:spacing w:line="240" w:lineRule="auto"/>
    </w:pPr>
  </w:style>
  <w:style w:type="character" w:customStyle="1" w:styleId="ZhlavChar">
    <w:name w:val="Záhlaví Char"/>
    <w:basedOn w:val="Standardnpsmoodstavce"/>
    <w:link w:val="Zhlav"/>
    <w:uiPriority w:val="99"/>
    <w:locked/>
    <w:rsid w:val="00DF00F7"/>
    <w:rPr>
      <w:rFonts w:ascii="Times New Roman" w:hAnsi="Times New Roman" w:cs="Times New Roman"/>
      <w:sz w:val="24"/>
      <w:szCs w:val="24"/>
    </w:rPr>
  </w:style>
  <w:style w:type="paragraph" w:styleId="Zpat">
    <w:name w:val="footer"/>
    <w:basedOn w:val="Normln"/>
    <w:link w:val="ZpatChar"/>
    <w:uiPriority w:val="99"/>
    <w:rsid w:val="00DF00F7"/>
    <w:pPr>
      <w:tabs>
        <w:tab w:val="center" w:pos="4536"/>
        <w:tab w:val="right" w:pos="9072"/>
      </w:tabs>
      <w:spacing w:line="240" w:lineRule="auto"/>
    </w:pPr>
  </w:style>
  <w:style w:type="character" w:customStyle="1" w:styleId="ZpatChar">
    <w:name w:val="Zápatí Char"/>
    <w:basedOn w:val="Standardnpsmoodstavce"/>
    <w:link w:val="Zpat"/>
    <w:uiPriority w:val="99"/>
    <w:locked/>
    <w:rsid w:val="00DF00F7"/>
    <w:rPr>
      <w:rFonts w:ascii="Times New Roman" w:hAnsi="Times New Roman" w:cs="Times New Roman"/>
      <w:sz w:val="24"/>
      <w:szCs w:val="24"/>
    </w:rPr>
  </w:style>
  <w:style w:type="paragraph" w:customStyle="1" w:styleId="Normln-tun">
    <w:name w:val="Normální - tučné"/>
    <w:basedOn w:val="Normln"/>
    <w:uiPriority w:val="99"/>
    <w:rsid w:val="00BF5353"/>
    <w:pPr>
      <w:spacing w:before="240"/>
    </w:pPr>
    <w:rPr>
      <w:b/>
      <w:bCs/>
    </w:rPr>
  </w:style>
  <w:style w:type="paragraph" w:customStyle="1" w:styleId="Zkon-podkapitola">
    <w:name w:val="Zákon-podkapitola"/>
    <w:basedOn w:val="Normln"/>
    <w:uiPriority w:val="99"/>
    <w:rsid w:val="00153E74"/>
    <w:pPr>
      <w:tabs>
        <w:tab w:val="num" w:pos="-180"/>
      </w:tabs>
      <w:spacing w:line="240" w:lineRule="auto"/>
      <w:ind w:left="-180" w:right="-648" w:hanging="360"/>
    </w:pPr>
    <w:rPr>
      <w:lang w:eastAsia="cs-CZ"/>
    </w:rPr>
  </w:style>
  <w:style w:type="paragraph" w:styleId="Revize">
    <w:name w:val="Revision"/>
    <w:hidden/>
    <w:uiPriority w:val="99"/>
    <w:semiHidden/>
    <w:rsid w:val="002471FC"/>
    <w:rPr>
      <w:rFonts w:ascii="Times New Roman" w:hAnsi="Times New Roman"/>
      <w:noProof/>
      <w:sz w:val="24"/>
      <w:szCs w:val="24"/>
      <w:lang w:eastAsia="en-US"/>
    </w:rPr>
  </w:style>
  <w:style w:type="paragraph" w:styleId="Normlnweb">
    <w:name w:val="Normal (Web)"/>
    <w:basedOn w:val="Normln"/>
    <w:uiPriority w:val="99"/>
    <w:semiHidden/>
    <w:rsid w:val="00BB3D11"/>
    <w:pPr>
      <w:spacing w:before="100" w:beforeAutospacing="1" w:after="100" w:afterAutospacing="1" w:line="240" w:lineRule="auto"/>
      <w:jc w:val="left"/>
    </w:pPr>
    <w:rPr>
      <w:lang w:eastAsia="cs-CZ"/>
    </w:rPr>
  </w:style>
  <w:style w:type="character" w:styleId="Hypertextovodkaz">
    <w:name w:val="Hyperlink"/>
    <w:basedOn w:val="Standardnpsmoodstavce"/>
    <w:uiPriority w:val="99"/>
    <w:semiHidden/>
    <w:rsid w:val="00BB3D11"/>
    <w:rPr>
      <w:color w:val="0000FF"/>
      <w:u w:val="single"/>
    </w:rPr>
  </w:style>
  <w:style w:type="paragraph" w:customStyle="1" w:styleId="Styl-NormlnsodrkouVlevo189cmPedsazen063cm">
    <w:name w:val="Styl - Normální s odrážkou + Vlevo:  189 cm Předsazení:  063 cm"/>
    <w:basedOn w:val="Normln"/>
    <w:uiPriority w:val="99"/>
    <w:rsid w:val="0013742B"/>
    <w:pPr>
      <w:numPr>
        <w:numId w:val="6"/>
      </w:numPr>
    </w:pPr>
  </w:style>
  <w:style w:type="character" w:styleId="Zstupntext">
    <w:name w:val="Placeholder Text"/>
    <w:basedOn w:val="Standardnpsmoodstavce"/>
    <w:uiPriority w:val="99"/>
    <w:semiHidden/>
    <w:rsid w:val="00D713B7"/>
    <w:rPr>
      <w:color w:val="808080"/>
    </w:rPr>
  </w:style>
  <w:style w:type="character" w:customStyle="1" w:styleId="st">
    <w:name w:val="st"/>
    <w:basedOn w:val="Standardnpsmoodstavce"/>
    <w:rsid w:val="004A709D"/>
  </w:style>
  <w:style w:type="table" w:styleId="Mkatabulky">
    <w:name w:val="Table Grid"/>
    <w:basedOn w:val="Normlntabulka"/>
    <w:uiPriority w:val="59"/>
    <w:locked/>
    <w:rsid w:val="00D827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lntun">
    <w:name w:val="Normální tučný"/>
    <w:basedOn w:val="Normln"/>
    <w:next w:val="Normln"/>
    <w:qFormat/>
    <w:rsid w:val="00276D40"/>
    <w:pPr>
      <w:keepNext/>
      <w:spacing w:before="24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33636">
      <w:bodyDiv w:val="1"/>
      <w:marLeft w:val="0"/>
      <w:marRight w:val="0"/>
      <w:marTop w:val="0"/>
      <w:marBottom w:val="0"/>
      <w:divBdr>
        <w:top w:val="none" w:sz="0" w:space="0" w:color="auto"/>
        <w:left w:val="none" w:sz="0" w:space="0" w:color="auto"/>
        <w:bottom w:val="none" w:sz="0" w:space="0" w:color="auto"/>
        <w:right w:val="none" w:sz="0" w:space="0" w:color="auto"/>
      </w:divBdr>
    </w:div>
    <w:div w:id="50348492">
      <w:bodyDiv w:val="1"/>
      <w:marLeft w:val="0"/>
      <w:marRight w:val="0"/>
      <w:marTop w:val="0"/>
      <w:marBottom w:val="0"/>
      <w:divBdr>
        <w:top w:val="none" w:sz="0" w:space="0" w:color="auto"/>
        <w:left w:val="none" w:sz="0" w:space="0" w:color="auto"/>
        <w:bottom w:val="none" w:sz="0" w:space="0" w:color="auto"/>
        <w:right w:val="none" w:sz="0" w:space="0" w:color="auto"/>
      </w:divBdr>
    </w:div>
    <w:div w:id="70735928">
      <w:bodyDiv w:val="1"/>
      <w:marLeft w:val="0"/>
      <w:marRight w:val="0"/>
      <w:marTop w:val="0"/>
      <w:marBottom w:val="0"/>
      <w:divBdr>
        <w:top w:val="none" w:sz="0" w:space="0" w:color="auto"/>
        <w:left w:val="none" w:sz="0" w:space="0" w:color="auto"/>
        <w:bottom w:val="none" w:sz="0" w:space="0" w:color="auto"/>
        <w:right w:val="none" w:sz="0" w:space="0" w:color="auto"/>
      </w:divBdr>
    </w:div>
    <w:div w:id="75447396">
      <w:bodyDiv w:val="1"/>
      <w:marLeft w:val="0"/>
      <w:marRight w:val="0"/>
      <w:marTop w:val="0"/>
      <w:marBottom w:val="0"/>
      <w:divBdr>
        <w:top w:val="none" w:sz="0" w:space="0" w:color="auto"/>
        <w:left w:val="none" w:sz="0" w:space="0" w:color="auto"/>
        <w:bottom w:val="none" w:sz="0" w:space="0" w:color="auto"/>
        <w:right w:val="none" w:sz="0" w:space="0" w:color="auto"/>
      </w:divBdr>
    </w:div>
    <w:div w:id="81875462">
      <w:bodyDiv w:val="1"/>
      <w:marLeft w:val="0"/>
      <w:marRight w:val="0"/>
      <w:marTop w:val="0"/>
      <w:marBottom w:val="0"/>
      <w:divBdr>
        <w:top w:val="none" w:sz="0" w:space="0" w:color="auto"/>
        <w:left w:val="none" w:sz="0" w:space="0" w:color="auto"/>
        <w:bottom w:val="none" w:sz="0" w:space="0" w:color="auto"/>
        <w:right w:val="none" w:sz="0" w:space="0" w:color="auto"/>
      </w:divBdr>
    </w:div>
    <w:div w:id="121971532">
      <w:bodyDiv w:val="1"/>
      <w:marLeft w:val="0"/>
      <w:marRight w:val="0"/>
      <w:marTop w:val="0"/>
      <w:marBottom w:val="0"/>
      <w:divBdr>
        <w:top w:val="none" w:sz="0" w:space="0" w:color="auto"/>
        <w:left w:val="none" w:sz="0" w:space="0" w:color="auto"/>
        <w:bottom w:val="none" w:sz="0" w:space="0" w:color="auto"/>
        <w:right w:val="none" w:sz="0" w:space="0" w:color="auto"/>
      </w:divBdr>
    </w:div>
    <w:div w:id="142624764">
      <w:bodyDiv w:val="1"/>
      <w:marLeft w:val="0"/>
      <w:marRight w:val="0"/>
      <w:marTop w:val="0"/>
      <w:marBottom w:val="0"/>
      <w:divBdr>
        <w:top w:val="none" w:sz="0" w:space="0" w:color="auto"/>
        <w:left w:val="none" w:sz="0" w:space="0" w:color="auto"/>
        <w:bottom w:val="none" w:sz="0" w:space="0" w:color="auto"/>
        <w:right w:val="none" w:sz="0" w:space="0" w:color="auto"/>
      </w:divBdr>
    </w:div>
    <w:div w:id="145628091">
      <w:bodyDiv w:val="1"/>
      <w:marLeft w:val="0"/>
      <w:marRight w:val="0"/>
      <w:marTop w:val="0"/>
      <w:marBottom w:val="0"/>
      <w:divBdr>
        <w:top w:val="none" w:sz="0" w:space="0" w:color="auto"/>
        <w:left w:val="none" w:sz="0" w:space="0" w:color="auto"/>
        <w:bottom w:val="none" w:sz="0" w:space="0" w:color="auto"/>
        <w:right w:val="none" w:sz="0" w:space="0" w:color="auto"/>
      </w:divBdr>
    </w:div>
    <w:div w:id="159004561">
      <w:bodyDiv w:val="1"/>
      <w:marLeft w:val="0"/>
      <w:marRight w:val="0"/>
      <w:marTop w:val="0"/>
      <w:marBottom w:val="0"/>
      <w:divBdr>
        <w:top w:val="none" w:sz="0" w:space="0" w:color="auto"/>
        <w:left w:val="none" w:sz="0" w:space="0" w:color="auto"/>
        <w:bottom w:val="none" w:sz="0" w:space="0" w:color="auto"/>
        <w:right w:val="none" w:sz="0" w:space="0" w:color="auto"/>
      </w:divBdr>
    </w:div>
    <w:div w:id="166336288">
      <w:bodyDiv w:val="1"/>
      <w:marLeft w:val="0"/>
      <w:marRight w:val="0"/>
      <w:marTop w:val="0"/>
      <w:marBottom w:val="0"/>
      <w:divBdr>
        <w:top w:val="none" w:sz="0" w:space="0" w:color="auto"/>
        <w:left w:val="none" w:sz="0" w:space="0" w:color="auto"/>
        <w:bottom w:val="none" w:sz="0" w:space="0" w:color="auto"/>
        <w:right w:val="none" w:sz="0" w:space="0" w:color="auto"/>
      </w:divBdr>
    </w:div>
    <w:div w:id="188645343">
      <w:bodyDiv w:val="1"/>
      <w:marLeft w:val="0"/>
      <w:marRight w:val="0"/>
      <w:marTop w:val="0"/>
      <w:marBottom w:val="0"/>
      <w:divBdr>
        <w:top w:val="none" w:sz="0" w:space="0" w:color="auto"/>
        <w:left w:val="none" w:sz="0" w:space="0" w:color="auto"/>
        <w:bottom w:val="none" w:sz="0" w:space="0" w:color="auto"/>
        <w:right w:val="none" w:sz="0" w:space="0" w:color="auto"/>
      </w:divBdr>
    </w:div>
    <w:div w:id="194849600">
      <w:bodyDiv w:val="1"/>
      <w:marLeft w:val="0"/>
      <w:marRight w:val="0"/>
      <w:marTop w:val="0"/>
      <w:marBottom w:val="0"/>
      <w:divBdr>
        <w:top w:val="none" w:sz="0" w:space="0" w:color="auto"/>
        <w:left w:val="none" w:sz="0" w:space="0" w:color="auto"/>
        <w:bottom w:val="none" w:sz="0" w:space="0" w:color="auto"/>
        <w:right w:val="none" w:sz="0" w:space="0" w:color="auto"/>
      </w:divBdr>
    </w:div>
    <w:div w:id="219361999">
      <w:bodyDiv w:val="1"/>
      <w:marLeft w:val="0"/>
      <w:marRight w:val="0"/>
      <w:marTop w:val="0"/>
      <w:marBottom w:val="0"/>
      <w:divBdr>
        <w:top w:val="none" w:sz="0" w:space="0" w:color="auto"/>
        <w:left w:val="none" w:sz="0" w:space="0" w:color="auto"/>
        <w:bottom w:val="none" w:sz="0" w:space="0" w:color="auto"/>
        <w:right w:val="none" w:sz="0" w:space="0" w:color="auto"/>
      </w:divBdr>
    </w:div>
    <w:div w:id="225649585">
      <w:bodyDiv w:val="1"/>
      <w:marLeft w:val="0"/>
      <w:marRight w:val="0"/>
      <w:marTop w:val="0"/>
      <w:marBottom w:val="0"/>
      <w:divBdr>
        <w:top w:val="none" w:sz="0" w:space="0" w:color="auto"/>
        <w:left w:val="none" w:sz="0" w:space="0" w:color="auto"/>
        <w:bottom w:val="none" w:sz="0" w:space="0" w:color="auto"/>
        <w:right w:val="none" w:sz="0" w:space="0" w:color="auto"/>
      </w:divBdr>
    </w:div>
    <w:div w:id="252666489">
      <w:bodyDiv w:val="1"/>
      <w:marLeft w:val="0"/>
      <w:marRight w:val="0"/>
      <w:marTop w:val="0"/>
      <w:marBottom w:val="0"/>
      <w:divBdr>
        <w:top w:val="none" w:sz="0" w:space="0" w:color="auto"/>
        <w:left w:val="none" w:sz="0" w:space="0" w:color="auto"/>
        <w:bottom w:val="none" w:sz="0" w:space="0" w:color="auto"/>
        <w:right w:val="none" w:sz="0" w:space="0" w:color="auto"/>
      </w:divBdr>
    </w:div>
    <w:div w:id="253518703">
      <w:bodyDiv w:val="1"/>
      <w:marLeft w:val="0"/>
      <w:marRight w:val="0"/>
      <w:marTop w:val="0"/>
      <w:marBottom w:val="0"/>
      <w:divBdr>
        <w:top w:val="none" w:sz="0" w:space="0" w:color="auto"/>
        <w:left w:val="none" w:sz="0" w:space="0" w:color="auto"/>
        <w:bottom w:val="none" w:sz="0" w:space="0" w:color="auto"/>
        <w:right w:val="none" w:sz="0" w:space="0" w:color="auto"/>
      </w:divBdr>
    </w:div>
    <w:div w:id="270473887">
      <w:bodyDiv w:val="1"/>
      <w:marLeft w:val="0"/>
      <w:marRight w:val="0"/>
      <w:marTop w:val="0"/>
      <w:marBottom w:val="0"/>
      <w:divBdr>
        <w:top w:val="none" w:sz="0" w:space="0" w:color="auto"/>
        <w:left w:val="none" w:sz="0" w:space="0" w:color="auto"/>
        <w:bottom w:val="none" w:sz="0" w:space="0" w:color="auto"/>
        <w:right w:val="none" w:sz="0" w:space="0" w:color="auto"/>
      </w:divBdr>
    </w:div>
    <w:div w:id="278800270">
      <w:bodyDiv w:val="1"/>
      <w:marLeft w:val="0"/>
      <w:marRight w:val="0"/>
      <w:marTop w:val="0"/>
      <w:marBottom w:val="0"/>
      <w:divBdr>
        <w:top w:val="none" w:sz="0" w:space="0" w:color="auto"/>
        <w:left w:val="none" w:sz="0" w:space="0" w:color="auto"/>
        <w:bottom w:val="none" w:sz="0" w:space="0" w:color="auto"/>
        <w:right w:val="none" w:sz="0" w:space="0" w:color="auto"/>
      </w:divBdr>
    </w:div>
    <w:div w:id="297534661">
      <w:bodyDiv w:val="1"/>
      <w:marLeft w:val="0"/>
      <w:marRight w:val="0"/>
      <w:marTop w:val="0"/>
      <w:marBottom w:val="0"/>
      <w:divBdr>
        <w:top w:val="none" w:sz="0" w:space="0" w:color="auto"/>
        <w:left w:val="none" w:sz="0" w:space="0" w:color="auto"/>
        <w:bottom w:val="none" w:sz="0" w:space="0" w:color="auto"/>
        <w:right w:val="none" w:sz="0" w:space="0" w:color="auto"/>
      </w:divBdr>
    </w:div>
    <w:div w:id="307396596">
      <w:bodyDiv w:val="1"/>
      <w:marLeft w:val="0"/>
      <w:marRight w:val="0"/>
      <w:marTop w:val="0"/>
      <w:marBottom w:val="0"/>
      <w:divBdr>
        <w:top w:val="none" w:sz="0" w:space="0" w:color="auto"/>
        <w:left w:val="none" w:sz="0" w:space="0" w:color="auto"/>
        <w:bottom w:val="none" w:sz="0" w:space="0" w:color="auto"/>
        <w:right w:val="none" w:sz="0" w:space="0" w:color="auto"/>
      </w:divBdr>
    </w:div>
    <w:div w:id="341932877">
      <w:bodyDiv w:val="1"/>
      <w:marLeft w:val="0"/>
      <w:marRight w:val="0"/>
      <w:marTop w:val="0"/>
      <w:marBottom w:val="0"/>
      <w:divBdr>
        <w:top w:val="none" w:sz="0" w:space="0" w:color="auto"/>
        <w:left w:val="none" w:sz="0" w:space="0" w:color="auto"/>
        <w:bottom w:val="none" w:sz="0" w:space="0" w:color="auto"/>
        <w:right w:val="none" w:sz="0" w:space="0" w:color="auto"/>
      </w:divBdr>
    </w:div>
    <w:div w:id="352341625">
      <w:bodyDiv w:val="1"/>
      <w:marLeft w:val="0"/>
      <w:marRight w:val="0"/>
      <w:marTop w:val="0"/>
      <w:marBottom w:val="0"/>
      <w:divBdr>
        <w:top w:val="none" w:sz="0" w:space="0" w:color="auto"/>
        <w:left w:val="none" w:sz="0" w:space="0" w:color="auto"/>
        <w:bottom w:val="none" w:sz="0" w:space="0" w:color="auto"/>
        <w:right w:val="none" w:sz="0" w:space="0" w:color="auto"/>
      </w:divBdr>
    </w:div>
    <w:div w:id="407772266">
      <w:bodyDiv w:val="1"/>
      <w:marLeft w:val="0"/>
      <w:marRight w:val="0"/>
      <w:marTop w:val="0"/>
      <w:marBottom w:val="0"/>
      <w:divBdr>
        <w:top w:val="none" w:sz="0" w:space="0" w:color="auto"/>
        <w:left w:val="none" w:sz="0" w:space="0" w:color="auto"/>
        <w:bottom w:val="none" w:sz="0" w:space="0" w:color="auto"/>
        <w:right w:val="none" w:sz="0" w:space="0" w:color="auto"/>
      </w:divBdr>
    </w:div>
    <w:div w:id="408040819">
      <w:bodyDiv w:val="1"/>
      <w:marLeft w:val="0"/>
      <w:marRight w:val="0"/>
      <w:marTop w:val="0"/>
      <w:marBottom w:val="0"/>
      <w:divBdr>
        <w:top w:val="none" w:sz="0" w:space="0" w:color="auto"/>
        <w:left w:val="none" w:sz="0" w:space="0" w:color="auto"/>
        <w:bottom w:val="none" w:sz="0" w:space="0" w:color="auto"/>
        <w:right w:val="none" w:sz="0" w:space="0" w:color="auto"/>
      </w:divBdr>
    </w:div>
    <w:div w:id="432284510">
      <w:bodyDiv w:val="1"/>
      <w:marLeft w:val="0"/>
      <w:marRight w:val="0"/>
      <w:marTop w:val="0"/>
      <w:marBottom w:val="0"/>
      <w:divBdr>
        <w:top w:val="none" w:sz="0" w:space="0" w:color="auto"/>
        <w:left w:val="none" w:sz="0" w:space="0" w:color="auto"/>
        <w:bottom w:val="none" w:sz="0" w:space="0" w:color="auto"/>
        <w:right w:val="none" w:sz="0" w:space="0" w:color="auto"/>
      </w:divBdr>
    </w:div>
    <w:div w:id="453444024">
      <w:bodyDiv w:val="1"/>
      <w:marLeft w:val="0"/>
      <w:marRight w:val="0"/>
      <w:marTop w:val="0"/>
      <w:marBottom w:val="0"/>
      <w:divBdr>
        <w:top w:val="none" w:sz="0" w:space="0" w:color="auto"/>
        <w:left w:val="none" w:sz="0" w:space="0" w:color="auto"/>
        <w:bottom w:val="none" w:sz="0" w:space="0" w:color="auto"/>
        <w:right w:val="none" w:sz="0" w:space="0" w:color="auto"/>
      </w:divBdr>
    </w:div>
    <w:div w:id="476075586">
      <w:bodyDiv w:val="1"/>
      <w:marLeft w:val="0"/>
      <w:marRight w:val="0"/>
      <w:marTop w:val="0"/>
      <w:marBottom w:val="0"/>
      <w:divBdr>
        <w:top w:val="none" w:sz="0" w:space="0" w:color="auto"/>
        <w:left w:val="none" w:sz="0" w:space="0" w:color="auto"/>
        <w:bottom w:val="none" w:sz="0" w:space="0" w:color="auto"/>
        <w:right w:val="none" w:sz="0" w:space="0" w:color="auto"/>
      </w:divBdr>
    </w:div>
    <w:div w:id="510410800">
      <w:bodyDiv w:val="1"/>
      <w:marLeft w:val="0"/>
      <w:marRight w:val="0"/>
      <w:marTop w:val="0"/>
      <w:marBottom w:val="0"/>
      <w:divBdr>
        <w:top w:val="none" w:sz="0" w:space="0" w:color="auto"/>
        <w:left w:val="none" w:sz="0" w:space="0" w:color="auto"/>
        <w:bottom w:val="none" w:sz="0" w:space="0" w:color="auto"/>
        <w:right w:val="none" w:sz="0" w:space="0" w:color="auto"/>
      </w:divBdr>
    </w:div>
    <w:div w:id="528296289">
      <w:bodyDiv w:val="1"/>
      <w:marLeft w:val="0"/>
      <w:marRight w:val="0"/>
      <w:marTop w:val="0"/>
      <w:marBottom w:val="0"/>
      <w:divBdr>
        <w:top w:val="none" w:sz="0" w:space="0" w:color="auto"/>
        <w:left w:val="none" w:sz="0" w:space="0" w:color="auto"/>
        <w:bottom w:val="none" w:sz="0" w:space="0" w:color="auto"/>
        <w:right w:val="none" w:sz="0" w:space="0" w:color="auto"/>
      </w:divBdr>
    </w:div>
    <w:div w:id="538592287">
      <w:bodyDiv w:val="1"/>
      <w:marLeft w:val="0"/>
      <w:marRight w:val="0"/>
      <w:marTop w:val="0"/>
      <w:marBottom w:val="0"/>
      <w:divBdr>
        <w:top w:val="none" w:sz="0" w:space="0" w:color="auto"/>
        <w:left w:val="none" w:sz="0" w:space="0" w:color="auto"/>
        <w:bottom w:val="none" w:sz="0" w:space="0" w:color="auto"/>
        <w:right w:val="none" w:sz="0" w:space="0" w:color="auto"/>
      </w:divBdr>
    </w:div>
    <w:div w:id="549192442">
      <w:bodyDiv w:val="1"/>
      <w:marLeft w:val="0"/>
      <w:marRight w:val="0"/>
      <w:marTop w:val="0"/>
      <w:marBottom w:val="0"/>
      <w:divBdr>
        <w:top w:val="none" w:sz="0" w:space="0" w:color="auto"/>
        <w:left w:val="none" w:sz="0" w:space="0" w:color="auto"/>
        <w:bottom w:val="none" w:sz="0" w:space="0" w:color="auto"/>
        <w:right w:val="none" w:sz="0" w:space="0" w:color="auto"/>
      </w:divBdr>
    </w:div>
    <w:div w:id="607129813">
      <w:bodyDiv w:val="1"/>
      <w:marLeft w:val="0"/>
      <w:marRight w:val="0"/>
      <w:marTop w:val="0"/>
      <w:marBottom w:val="0"/>
      <w:divBdr>
        <w:top w:val="none" w:sz="0" w:space="0" w:color="auto"/>
        <w:left w:val="none" w:sz="0" w:space="0" w:color="auto"/>
        <w:bottom w:val="none" w:sz="0" w:space="0" w:color="auto"/>
        <w:right w:val="none" w:sz="0" w:space="0" w:color="auto"/>
      </w:divBdr>
    </w:div>
    <w:div w:id="609434906">
      <w:bodyDiv w:val="1"/>
      <w:marLeft w:val="0"/>
      <w:marRight w:val="0"/>
      <w:marTop w:val="0"/>
      <w:marBottom w:val="0"/>
      <w:divBdr>
        <w:top w:val="none" w:sz="0" w:space="0" w:color="auto"/>
        <w:left w:val="none" w:sz="0" w:space="0" w:color="auto"/>
        <w:bottom w:val="none" w:sz="0" w:space="0" w:color="auto"/>
        <w:right w:val="none" w:sz="0" w:space="0" w:color="auto"/>
      </w:divBdr>
    </w:div>
    <w:div w:id="624241961">
      <w:bodyDiv w:val="1"/>
      <w:marLeft w:val="0"/>
      <w:marRight w:val="0"/>
      <w:marTop w:val="0"/>
      <w:marBottom w:val="0"/>
      <w:divBdr>
        <w:top w:val="none" w:sz="0" w:space="0" w:color="auto"/>
        <w:left w:val="none" w:sz="0" w:space="0" w:color="auto"/>
        <w:bottom w:val="none" w:sz="0" w:space="0" w:color="auto"/>
        <w:right w:val="none" w:sz="0" w:space="0" w:color="auto"/>
      </w:divBdr>
    </w:div>
    <w:div w:id="625234983">
      <w:bodyDiv w:val="1"/>
      <w:marLeft w:val="0"/>
      <w:marRight w:val="0"/>
      <w:marTop w:val="0"/>
      <w:marBottom w:val="0"/>
      <w:divBdr>
        <w:top w:val="none" w:sz="0" w:space="0" w:color="auto"/>
        <w:left w:val="none" w:sz="0" w:space="0" w:color="auto"/>
        <w:bottom w:val="none" w:sz="0" w:space="0" w:color="auto"/>
        <w:right w:val="none" w:sz="0" w:space="0" w:color="auto"/>
      </w:divBdr>
    </w:div>
    <w:div w:id="660545878">
      <w:bodyDiv w:val="1"/>
      <w:marLeft w:val="0"/>
      <w:marRight w:val="0"/>
      <w:marTop w:val="0"/>
      <w:marBottom w:val="0"/>
      <w:divBdr>
        <w:top w:val="none" w:sz="0" w:space="0" w:color="auto"/>
        <w:left w:val="none" w:sz="0" w:space="0" w:color="auto"/>
        <w:bottom w:val="none" w:sz="0" w:space="0" w:color="auto"/>
        <w:right w:val="none" w:sz="0" w:space="0" w:color="auto"/>
      </w:divBdr>
    </w:div>
    <w:div w:id="702243641">
      <w:bodyDiv w:val="1"/>
      <w:marLeft w:val="0"/>
      <w:marRight w:val="0"/>
      <w:marTop w:val="0"/>
      <w:marBottom w:val="0"/>
      <w:divBdr>
        <w:top w:val="none" w:sz="0" w:space="0" w:color="auto"/>
        <w:left w:val="none" w:sz="0" w:space="0" w:color="auto"/>
        <w:bottom w:val="none" w:sz="0" w:space="0" w:color="auto"/>
        <w:right w:val="none" w:sz="0" w:space="0" w:color="auto"/>
      </w:divBdr>
    </w:div>
    <w:div w:id="712929227">
      <w:bodyDiv w:val="1"/>
      <w:marLeft w:val="0"/>
      <w:marRight w:val="0"/>
      <w:marTop w:val="0"/>
      <w:marBottom w:val="0"/>
      <w:divBdr>
        <w:top w:val="none" w:sz="0" w:space="0" w:color="auto"/>
        <w:left w:val="none" w:sz="0" w:space="0" w:color="auto"/>
        <w:bottom w:val="none" w:sz="0" w:space="0" w:color="auto"/>
        <w:right w:val="none" w:sz="0" w:space="0" w:color="auto"/>
      </w:divBdr>
    </w:div>
    <w:div w:id="717439269">
      <w:bodyDiv w:val="1"/>
      <w:marLeft w:val="0"/>
      <w:marRight w:val="0"/>
      <w:marTop w:val="0"/>
      <w:marBottom w:val="0"/>
      <w:divBdr>
        <w:top w:val="none" w:sz="0" w:space="0" w:color="auto"/>
        <w:left w:val="none" w:sz="0" w:space="0" w:color="auto"/>
        <w:bottom w:val="none" w:sz="0" w:space="0" w:color="auto"/>
        <w:right w:val="none" w:sz="0" w:space="0" w:color="auto"/>
      </w:divBdr>
    </w:div>
    <w:div w:id="776757854">
      <w:bodyDiv w:val="1"/>
      <w:marLeft w:val="0"/>
      <w:marRight w:val="0"/>
      <w:marTop w:val="0"/>
      <w:marBottom w:val="0"/>
      <w:divBdr>
        <w:top w:val="none" w:sz="0" w:space="0" w:color="auto"/>
        <w:left w:val="none" w:sz="0" w:space="0" w:color="auto"/>
        <w:bottom w:val="none" w:sz="0" w:space="0" w:color="auto"/>
        <w:right w:val="none" w:sz="0" w:space="0" w:color="auto"/>
      </w:divBdr>
    </w:div>
    <w:div w:id="776947108">
      <w:bodyDiv w:val="1"/>
      <w:marLeft w:val="0"/>
      <w:marRight w:val="0"/>
      <w:marTop w:val="0"/>
      <w:marBottom w:val="0"/>
      <w:divBdr>
        <w:top w:val="none" w:sz="0" w:space="0" w:color="auto"/>
        <w:left w:val="none" w:sz="0" w:space="0" w:color="auto"/>
        <w:bottom w:val="none" w:sz="0" w:space="0" w:color="auto"/>
        <w:right w:val="none" w:sz="0" w:space="0" w:color="auto"/>
      </w:divBdr>
    </w:div>
    <w:div w:id="787091982">
      <w:bodyDiv w:val="1"/>
      <w:marLeft w:val="0"/>
      <w:marRight w:val="0"/>
      <w:marTop w:val="0"/>
      <w:marBottom w:val="0"/>
      <w:divBdr>
        <w:top w:val="none" w:sz="0" w:space="0" w:color="auto"/>
        <w:left w:val="none" w:sz="0" w:space="0" w:color="auto"/>
        <w:bottom w:val="none" w:sz="0" w:space="0" w:color="auto"/>
        <w:right w:val="none" w:sz="0" w:space="0" w:color="auto"/>
      </w:divBdr>
    </w:div>
    <w:div w:id="788935928">
      <w:bodyDiv w:val="1"/>
      <w:marLeft w:val="0"/>
      <w:marRight w:val="0"/>
      <w:marTop w:val="0"/>
      <w:marBottom w:val="0"/>
      <w:divBdr>
        <w:top w:val="none" w:sz="0" w:space="0" w:color="auto"/>
        <w:left w:val="none" w:sz="0" w:space="0" w:color="auto"/>
        <w:bottom w:val="none" w:sz="0" w:space="0" w:color="auto"/>
        <w:right w:val="none" w:sz="0" w:space="0" w:color="auto"/>
      </w:divBdr>
    </w:div>
    <w:div w:id="794906181">
      <w:bodyDiv w:val="1"/>
      <w:marLeft w:val="0"/>
      <w:marRight w:val="0"/>
      <w:marTop w:val="0"/>
      <w:marBottom w:val="0"/>
      <w:divBdr>
        <w:top w:val="none" w:sz="0" w:space="0" w:color="auto"/>
        <w:left w:val="none" w:sz="0" w:space="0" w:color="auto"/>
        <w:bottom w:val="none" w:sz="0" w:space="0" w:color="auto"/>
        <w:right w:val="none" w:sz="0" w:space="0" w:color="auto"/>
      </w:divBdr>
    </w:div>
    <w:div w:id="807749029">
      <w:bodyDiv w:val="1"/>
      <w:marLeft w:val="0"/>
      <w:marRight w:val="0"/>
      <w:marTop w:val="0"/>
      <w:marBottom w:val="0"/>
      <w:divBdr>
        <w:top w:val="none" w:sz="0" w:space="0" w:color="auto"/>
        <w:left w:val="none" w:sz="0" w:space="0" w:color="auto"/>
        <w:bottom w:val="none" w:sz="0" w:space="0" w:color="auto"/>
        <w:right w:val="none" w:sz="0" w:space="0" w:color="auto"/>
      </w:divBdr>
    </w:div>
    <w:div w:id="821507691">
      <w:bodyDiv w:val="1"/>
      <w:marLeft w:val="0"/>
      <w:marRight w:val="0"/>
      <w:marTop w:val="0"/>
      <w:marBottom w:val="0"/>
      <w:divBdr>
        <w:top w:val="none" w:sz="0" w:space="0" w:color="auto"/>
        <w:left w:val="none" w:sz="0" w:space="0" w:color="auto"/>
        <w:bottom w:val="none" w:sz="0" w:space="0" w:color="auto"/>
        <w:right w:val="none" w:sz="0" w:space="0" w:color="auto"/>
      </w:divBdr>
    </w:div>
    <w:div w:id="843400036">
      <w:bodyDiv w:val="1"/>
      <w:marLeft w:val="0"/>
      <w:marRight w:val="0"/>
      <w:marTop w:val="0"/>
      <w:marBottom w:val="0"/>
      <w:divBdr>
        <w:top w:val="none" w:sz="0" w:space="0" w:color="auto"/>
        <w:left w:val="none" w:sz="0" w:space="0" w:color="auto"/>
        <w:bottom w:val="none" w:sz="0" w:space="0" w:color="auto"/>
        <w:right w:val="none" w:sz="0" w:space="0" w:color="auto"/>
      </w:divBdr>
    </w:div>
    <w:div w:id="857429815">
      <w:bodyDiv w:val="1"/>
      <w:marLeft w:val="0"/>
      <w:marRight w:val="0"/>
      <w:marTop w:val="0"/>
      <w:marBottom w:val="0"/>
      <w:divBdr>
        <w:top w:val="none" w:sz="0" w:space="0" w:color="auto"/>
        <w:left w:val="none" w:sz="0" w:space="0" w:color="auto"/>
        <w:bottom w:val="none" w:sz="0" w:space="0" w:color="auto"/>
        <w:right w:val="none" w:sz="0" w:space="0" w:color="auto"/>
      </w:divBdr>
    </w:div>
    <w:div w:id="865287189">
      <w:bodyDiv w:val="1"/>
      <w:marLeft w:val="0"/>
      <w:marRight w:val="0"/>
      <w:marTop w:val="0"/>
      <w:marBottom w:val="0"/>
      <w:divBdr>
        <w:top w:val="none" w:sz="0" w:space="0" w:color="auto"/>
        <w:left w:val="none" w:sz="0" w:space="0" w:color="auto"/>
        <w:bottom w:val="none" w:sz="0" w:space="0" w:color="auto"/>
        <w:right w:val="none" w:sz="0" w:space="0" w:color="auto"/>
      </w:divBdr>
    </w:div>
    <w:div w:id="875891321">
      <w:bodyDiv w:val="1"/>
      <w:marLeft w:val="0"/>
      <w:marRight w:val="0"/>
      <w:marTop w:val="0"/>
      <w:marBottom w:val="0"/>
      <w:divBdr>
        <w:top w:val="none" w:sz="0" w:space="0" w:color="auto"/>
        <w:left w:val="none" w:sz="0" w:space="0" w:color="auto"/>
        <w:bottom w:val="none" w:sz="0" w:space="0" w:color="auto"/>
        <w:right w:val="none" w:sz="0" w:space="0" w:color="auto"/>
      </w:divBdr>
    </w:div>
    <w:div w:id="896204807">
      <w:bodyDiv w:val="1"/>
      <w:marLeft w:val="0"/>
      <w:marRight w:val="0"/>
      <w:marTop w:val="0"/>
      <w:marBottom w:val="0"/>
      <w:divBdr>
        <w:top w:val="none" w:sz="0" w:space="0" w:color="auto"/>
        <w:left w:val="none" w:sz="0" w:space="0" w:color="auto"/>
        <w:bottom w:val="none" w:sz="0" w:space="0" w:color="auto"/>
        <w:right w:val="none" w:sz="0" w:space="0" w:color="auto"/>
      </w:divBdr>
    </w:div>
    <w:div w:id="930898363">
      <w:bodyDiv w:val="1"/>
      <w:marLeft w:val="0"/>
      <w:marRight w:val="0"/>
      <w:marTop w:val="0"/>
      <w:marBottom w:val="0"/>
      <w:divBdr>
        <w:top w:val="none" w:sz="0" w:space="0" w:color="auto"/>
        <w:left w:val="none" w:sz="0" w:space="0" w:color="auto"/>
        <w:bottom w:val="none" w:sz="0" w:space="0" w:color="auto"/>
        <w:right w:val="none" w:sz="0" w:space="0" w:color="auto"/>
      </w:divBdr>
    </w:div>
    <w:div w:id="949623708">
      <w:bodyDiv w:val="1"/>
      <w:marLeft w:val="0"/>
      <w:marRight w:val="0"/>
      <w:marTop w:val="0"/>
      <w:marBottom w:val="0"/>
      <w:divBdr>
        <w:top w:val="none" w:sz="0" w:space="0" w:color="auto"/>
        <w:left w:val="none" w:sz="0" w:space="0" w:color="auto"/>
        <w:bottom w:val="none" w:sz="0" w:space="0" w:color="auto"/>
        <w:right w:val="none" w:sz="0" w:space="0" w:color="auto"/>
      </w:divBdr>
    </w:div>
    <w:div w:id="960763981">
      <w:bodyDiv w:val="1"/>
      <w:marLeft w:val="0"/>
      <w:marRight w:val="0"/>
      <w:marTop w:val="0"/>
      <w:marBottom w:val="0"/>
      <w:divBdr>
        <w:top w:val="none" w:sz="0" w:space="0" w:color="auto"/>
        <w:left w:val="none" w:sz="0" w:space="0" w:color="auto"/>
        <w:bottom w:val="none" w:sz="0" w:space="0" w:color="auto"/>
        <w:right w:val="none" w:sz="0" w:space="0" w:color="auto"/>
      </w:divBdr>
    </w:div>
    <w:div w:id="979118120">
      <w:bodyDiv w:val="1"/>
      <w:marLeft w:val="0"/>
      <w:marRight w:val="0"/>
      <w:marTop w:val="0"/>
      <w:marBottom w:val="0"/>
      <w:divBdr>
        <w:top w:val="none" w:sz="0" w:space="0" w:color="auto"/>
        <w:left w:val="none" w:sz="0" w:space="0" w:color="auto"/>
        <w:bottom w:val="none" w:sz="0" w:space="0" w:color="auto"/>
        <w:right w:val="none" w:sz="0" w:space="0" w:color="auto"/>
      </w:divBdr>
    </w:div>
    <w:div w:id="986251963">
      <w:bodyDiv w:val="1"/>
      <w:marLeft w:val="0"/>
      <w:marRight w:val="0"/>
      <w:marTop w:val="0"/>
      <w:marBottom w:val="0"/>
      <w:divBdr>
        <w:top w:val="none" w:sz="0" w:space="0" w:color="auto"/>
        <w:left w:val="none" w:sz="0" w:space="0" w:color="auto"/>
        <w:bottom w:val="none" w:sz="0" w:space="0" w:color="auto"/>
        <w:right w:val="none" w:sz="0" w:space="0" w:color="auto"/>
      </w:divBdr>
    </w:div>
    <w:div w:id="1003775591">
      <w:bodyDiv w:val="1"/>
      <w:marLeft w:val="0"/>
      <w:marRight w:val="0"/>
      <w:marTop w:val="0"/>
      <w:marBottom w:val="0"/>
      <w:divBdr>
        <w:top w:val="none" w:sz="0" w:space="0" w:color="auto"/>
        <w:left w:val="none" w:sz="0" w:space="0" w:color="auto"/>
        <w:bottom w:val="none" w:sz="0" w:space="0" w:color="auto"/>
        <w:right w:val="none" w:sz="0" w:space="0" w:color="auto"/>
      </w:divBdr>
    </w:div>
    <w:div w:id="1007486485">
      <w:bodyDiv w:val="1"/>
      <w:marLeft w:val="0"/>
      <w:marRight w:val="0"/>
      <w:marTop w:val="0"/>
      <w:marBottom w:val="0"/>
      <w:divBdr>
        <w:top w:val="none" w:sz="0" w:space="0" w:color="auto"/>
        <w:left w:val="none" w:sz="0" w:space="0" w:color="auto"/>
        <w:bottom w:val="none" w:sz="0" w:space="0" w:color="auto"/>
        <w:right w:val="none" w:sz="0" w:space="0" w:color="auto"/>
      </w:divBdr>
    </w:div>
    <w:div w:id="1014959746">
      <w:bodyDiv w:val="1"/>
      <w:marLeft w:val="0"/>
      <w:marRight w:val="0"/>
      <w:marTop w:val="0"/>
      <w:marBottom w:val="0"/>
      <w:divBdr>
        <w:top w:val="none" w:sz="0" w:space="0" w:color="auto"/>
        <w:left w:val="none" w:sz="0" w:space="0" w:color="auto"/>
        <w:bottom w:val="none" w:sz="0" w:space="0" w:color="auto"/>
        <w:right w:val="none" w:sz="0" w:space="0" w:color="auto"/>
      </w:divBdr>
    </w:div>
    <w:div w:id="1018460020">
      <w:bodyDiv w:val="1"/>
      <w:marLeft w:val="0"/>
      <w:marRight w:val="0"/>
      <w:marTop w:val="0"/>
      <w:marBottom w:val="0"/>
      <w:divBdr>
        <w:top w:val="none" w:sz="0" w:space="0" w:color="auto"/>
        <w:left w:val="none" w:sz="0" w:space="0" w:color="auto"/>
        <w:bottom w:val="none" w:sz="0" w:space="0" w:color="auto"/>
        <w:right w:val="none" w:sz="0" w:space="0" w:color="auto"/>
      </w:divBdr>
    </w:div>
    <w:div w:id="1042553747">
      <w:bodyDiv w:val="1"/>
      <w:marLeft w:val="0"/>
      <w:marRight w:val="0"/>
      <w:marTop w:val="0"/>
      <w:marBottom w:val="0"/>
      <w:divBdr>
        <w:top w:val="none" w:sz="0" w:space="0" w:color="auto"/>
        <w:left w:val="none" w:sz="0" w:space="0" w:color="auto"/>
        <w:bottom w:val="none" w:sz="0" w:space="0" w:color="auto"/>
        <w:right w:val="none" w:sz="0" w:space="0" w:color="auto"/>
      </w:divBdr>
    </w:div>
    <w:div w:id="1060058849">
      <w:bodyDiv w:val="1"/>
      <w:marLeft w:val="0"/>
      <w:marRight w:val="0"/>
      <w:marTop w:val="0"/>
      <w:marBottom w:val="0"/>
      <w:divBdr>
        <w:top w:val="none" w:sz="0" w:space="0" w:color="auto"/>
        <w:left w:val="none" w:sz="0" w:space="0" w:color="auto"/>
        <w:bottom w:val="none" w:sz="0" w:space="0" w:color="auto"/>
        <w:right w:val="none" w:sz="0" w:space="0" w:color="auto"/>
      </w:divBdr>
    </w:div>
    <w:div w:id="1081870877">
      <w:bodyDiv w:val="1"/>
      <w:marLeft w:val="0"/>
      <w:marRight w:val="0"/>
      <w:marTop w:val="0"/>
      <w:marBottom w:val="0"/>
      <w:divBdr>
        <w:top w:val="none" w:sz="0" w:space="0" w:color="auto"/>
        <w:left w:val="none" w:sz="0" w:space="0" w:color="auto"/>
        <w:bottom w:val="none" w:sz="0" w:space="0" w:color="auto"/>
        <w:right w:val="none" w:sz="0" w:space="0" w:color="auto"/>
      </w:divBdr>
    </w:div>
    <w:div w:id="1085031216">
      <w:bodyDiv w:val="1"/>
      <w:marLeft w:val="0"/>
      <w:marRight w:val="0"/>
      <w:marTop w:val="0"/>
      <w:marBottom w:val="0"/>
      <w:divBdr>
        <w:top w:val="none" w:sz="0" w:space="0" w:color="auto"/>
        <w:left w:val="none" w:sz="0" w:space="0" w:color="auto"/>
        <w:bottom w:val="none" w:sz="0" w:space="0" w:color="auto"/>
        <w:right w:val="none" w:sz="0" w:space="0" w:color="auto"/>
      </w:divBdr>
    </w:div>
    <w:div w:id="1098255574">
      <w:bodyDiv w:val="1"/>
      <w:marLeft w:val="0"/>
      <w:marRight w:val="0"/>
      <w:marTop w:val="0"/>
      <w:marBottom w:val="0"/>
      <w:divBdr>
        <w:top w:val="none" w:sz="0" w:space="0" w:color="auto"/>
        <w:left w:val="none" w:sz="0" w:space="0" w:color="auto"/>
        <w:bottom w:val="none" w:sz="0" w:space="0" w:color="auto"/>
        <w:right w:val="none" w:sz="0" w:space="0" w:color="auto"/>
      </w:divBdr>
    </w:div>
    <w:div w:id="1112091476">
      <w:bodyDiv w:val="1"/>
      <w:marLeft w:val="0"/>
      <w:marRight w:val="0"/>
      <w:marTop w:val="0"/>
      <w:marBottom w:val="0"/>
      <w:divBdr>
        <w:top w:val="none" w:sz="0" w:space="0" w:color="auto"/>
        <w:left w:val="none" w:sz="0" w:space="0" w:color="auto"/>
        <w:bottom w:val="none" w:sz="0" w:space="0" w:color="auto"/>
        <w:right w:val="none" w:sz="0" w:space="0" w:color="auto"/>
      </w:divBdr>
    </w:div>
    <w:div w:id="1119227772">
      <w:bodyDiv w:val="1"/>
      <w:marLeft w:val="0"/>
      <w:marRight w:val="0"/>
      <w:marTop w:val="0"/>
      <w:marBottom w:val="0"/>
      <w:divBdr>
        <w:top w:val="none" w:sz="0" w:space="0" w:color="auto"/>
        <w:left w:val="none" w:sz="0" w:space="0" w:color="auto"/>
        <w:bottom w:val="none" w:sz="0" w:space="0" w:color="auto"/>
        <w:right w:val="none" w:sz="0" w:space="0" w:color="auto"/>
      </w:divBdr>
    </w:div>
    <w:div w:id="1165633919">
      <w:bodyDiv w:val="1"/>
      <w:marLeft w:val="0"/>
      <w:marRight w:val="0"/>
      <w:marTop w:val="0"/>
      <w:marBottom w:val="0"/>
      <w:divBdr>
        <w:top w:val="none" w:sz="0" w:space="0" w:color="auto"/>
        <w:left w:val="none" w:sz="0" w:space="0" w:color="auto"/>
        <w:bottom w:val="none" w:sz="0" w:space="0" w:color="auto"/>
        <w:right w:val="none" w:sz="0" w:space="0" w:color="auto"/>
      </w:divBdr>
    </w:div>
    <w:div w:id="1228761080">
      <w:bodyDiv w:val="1"/>
      <w:marLeft w:val="0"/>
      <w:marRight w:val="0"/>
      <w:marTop w:val="0"/>
      <w:marBottom w:val="0"/>
      <w:divBdr>
        <w:top w:val="none" w:sz="0" w:space="0" w:color="auto"/>
        <w:left w:val="none" w:sz="0" w:space="0" w:color="auto"/>
        <w:bottom w:val="none" w:sz="0" w:space="0" w:color="auto"/>
        <w:right w:val="none" w:sz="0" w:space="0" w:color="auto"/>
      </w:divBdr>
    </w:div>
    <w:div w:id="1237590904">
      <w:bodyDiv w:val="1"/>
      <w:marLeft w:val="0"/>
      <w:marRight w:val="0"/>
      <w:marTop w:val="0"/>
      <w:marBottom w:val="0"/>
      <w:divBdr>
        <w:top w:val="none" w:sz="0" w:space="0" w:color="auto"/>
        <w:left w:val="none" w:sz="0" w:space="0" w:color="auto"/>
        <w:bottom w:val="none" w:sz="0" w:space="0" w:color="auto"/>
        <w:right w:val="none" w:sz="0" w:space="0" w:color="auto"/>
      </w:divBdr>
    </w:div>
    <w:div w:id="1243904317">
      <w:bodyDiv w:val="1"/>
      <w:marLeft w:val="0"/>
      <w:marRight w:val="0"/>
      <w:marTop w:val="0"/>
      <w:marBottom w:val="0"/>
      <w:divBdr>
        <w:top w:val="none" w:sz="0" w:space="0" w:color="auto"/>
        <w:left w:val="none" w:sz="0" w:space="0" w:color="auto"/>
        <w:bottom w:val="none" w:sz="0" w:space="0" w:color="auto"/>
        <w:right w:val="none" w:sz="0" w:space="0" w:color="auto"/>
      </w:divBdr>
    </w:div>
    <w:div w:id="1244602895">
      <w:bodyDiv w:val="1"/>
      <w:marLeft w:val="0"/>
      <w:marRight w:val="0"/>
      <w:marTop w:val="0"/>
      <w:marBottom w:val="0"/>
      <w:divBdr>
        <w:top w:val="none" w:sz="0" w:space="0" w:color="auto"/>
        <w:left w:val="none" w:sz="0" w:space="0" w:color="auto"/>
        <w:bottom w:val="none" w:sz="0" w:space="0" w:color="auto"/>
        <w:right w:val="none" w:sz="0" w:space="0" w:color="auto"/>
      </w:divBdr>
    </w:div>
    <w:div w:id="1274050156">
      <w:bodyDiv w:val="1"/>
      <w:marLeft w:val="0"/>
      <w:marRight w:val="0"/>
      <w:marTop w:val="0"/>
      <w:marBottom w:val="0"/>
      <w:divBdr>
        <w:top w:val="none" w:sz="0" w:space="0" w:color="auto"/>
        <w:left w:val="none" w:sz="0" w:space="0" w:color="auto"/>
        <w:bottom w:val="none" w:sz="0" w:space="0" w:color="auto"/>
        <w:right w:val="none" w:sz="0" w:space="0" w:color="auto"/>
      </w:divBdr>
    </w:div>
    <w:div w:id="1319579271">
      <w:bodyDiv w:val="1"/>
      <w:marLeft w:val="0"/>
      <w:marRight w:val="0"/>
      <w:marTop w:val="0"/>
      <w:marBottom w:val="0"/>
      <w:divBdr>
        <w:top w:val="none" w:sz="0" w:space="0" w:color="auto"/>
        <w:left w:val="none" w:sz="0" w:space="0" w:color="auto"/>
        <w:bottom w:val="none" w:sz="0" w:space="0" w:color="auto"/>
        <w:right w:val="none" w:sz="0" w:space="0" w:color="auto"/>
      </w:divBdr>
    </w:div>
    <w:div w:id="1320426029">
      <w:bodyDiv w:val="1"/>
      <w:marLeft w:val="0"/>
      <w:marRight w:val="0"/>
      <w:marTop w:val="0"/>
      <w:marBottom w:val="0"/>
      <w:divBdr>
        <w:top w:val="none" w:sz="0" w:space="0" w:color="auto"/>
        <w:left w:val="none" w:sz="0" w:space="0" w:color="auto"/>
        <w:bottom w:val="none" w:sz="0" w:space="0" w:color="auto"/>
        <w:right w:val="none" w:sz="0" w:space="0" w:color="auto"/>
      </w:divBdr>
    </w:div>
    <w:div w:id="1323579294">
      <w:bodyDiv w:val="1"/>
      <w:marLeft w:val="0"/>
      <w:marRight w:val="0"/>
      <w:marTop w:val="0"/>
      <w:marBottom w:val="0"/>
      <w:divBdr>
        <w:top w:val="none" w:sz="0" w:space="0" w:color="auto"/>
        <w:left w:val="none" w:sz="0" w:space="0" w:color="auto"/>
        <w:bottom w:val="none" w:sz="0" w:space="0" w:color="auto"/>
        <w:right w:val="none" w:sz="0" w:space="0" w:color="auto"/>
      </w:divBdr>
    </w:div>
    <w:div w:id="1336419398">
      <w:bodyDiv w:val="1"/>
      <w:marLeft w:val="0"/>
      <w:marRight w:val="0"/>
      <w:marTop w:val="0"/>
      <w:marBottom w:val="0"/>
      <w:divBdr>
        <w:top w:val="none" w:sz="0" w:space="0" w:color="auto"/>
        <w:left w:val="none" w:sz="0" w:space="0" w:color="auto"/>
        <w:bottom w:val="none" w:sz="0" w:space="0" w:color="auto"/>
        <w:right w:val="none" w:sz="0" w:space="0" w:color="auto"/>
      </w:divBdr>
    </w:div>
    <w:div w:id="1355034481">
      <w:bodyDiv w:val="1"/>
      <w:marLeft w:val="0"/>
      <w:marRight w:val="0"/>
      <w:marTop w:val="0"/>
      <w:marBottom w:val="0"/>
      <w:divBdr>
        <w:top w:val="none" w:sz="0" w:space="0" w:color="auto"/>
        <w:left w:val="none" w:sz="0" w:space="0" w:color="auto"/>
        <w:bottom w:val="none" w:sz="0" w:space="0" w:color="auto"/>
        <w:right w:val="none" w:sz="0" w:space="0" w:color="auto"/>
      </w:divBdr>
    </w:div>
    <w:div w:id="1383942740">
      <w:bodyDiv w:val="1"/>
      <w:marLeft w:val="0"/>
      <w:marRight w:val="0"/>
      <w:marTop w:val="0"/>
      <w:marBottom w:val="0"/>
      <w:divBdr>
        <w:top w:val="none" w:sz="0" w:space="0" w:color="auto"/>
        <w:left w:val="none" w:sz="0" w:space="0" w:color="auto"/>
        <w:bottom w:val="none" w:sz="0" w:space="0" w:color="auto"/>
        <w:right w:val="none" w:sz="0" w:space="0" w:color="auto"/>
      </w:divBdr>
    </w:div>
    <w:div w:id="1391728344">
      <w:bodyDiv w:val="1"/>
      <w:marLeft w:val="0"/>
      <w:marRight w:val="0"/>
      <w:marTop w:val="0"/>
      <w:marBottom w:val="0"/>
      <w:divBdr>
        <w:top w:val="none" w:sz="0" w:space="0" w:color="auto"/>
        <w:left w:val="none" w:sz="0" w:space="0" w:color="auto"/>
        <w:bottom w:val="none" w:sz="0" w:space="0" w:color="auto"/>
        <w:right w:val="none" w:sz="0" w:space="0" w:color="auto"/>
      </w:divBdr>
    </w:div>
    <w:div w:id="1392848017">
      <w:bodyDiv w:val="1"/>
      <w:marLeft w:val="0"/>
      <w:marRight w:val="0"/>
      <w:marTop w:val="0"/>
      <w:marBottom w:val="0"/>
      <w:divBdr>
        <w:top w:val="none" w:sz="0" w:space="0" w:color="auto"/>
        <w:left w:val="none" w:sz="0" w:space="0" w:color="auto"/>
        <w:bottom w:val="none" w:sz="0" w:space="0" w:color="auto"/>
        <w:right w:val="none" w:sz="0" w:space="0" w:color="auto"/>
      </w:divBdr>
    </w:div>
    <w:div w:id="1401637300">
      <w:bodyDiv w:val="1"/>
      <w:marLeft w:val="0"/>
      <w:marRight w:val="0"/>
      <w:marTop w:val="0"/>
      <w:marBottom w:val="0"/>
      <w:divBdr>
        <w:top w:val="none" w:sz="0" w:space="0" w:color="auto"/>
        <w:left w:val="none" w:sz="0" w:space="0" w:color="auto"/>
        <w:bottom w:val="none" w:sz="0" w:space="0" w:color="auto"/>
        <w:right w:val="none" w:sz="0" w:space="0" w:color="auto"/>
      </w:divBdr>
    </w:div>
    <w:div w:id="1500537357">
      <w:bodyDiv w:val="1"/>
      <w:marLeft w:val="0"/>
      <w:marRight w:val="0"/>
      <w:marTop w:val="0"/>
      <w:marBottom w:val="0"/>
      <w:divBdr>
        <w:top w:val="none" w:sz="0" w:space="0" w:color="auto"/>
        <w:left w:val="none" w:sz="0" w:space="0" w:color="auto"/>
        <w:bottom w:val="none" w:sz="0" w:space="0" w:color="auto"/>
        <w:right w:val="none" w:sz="0" w:space="0" w:color="auto"/>
      </w:divBdr>
    </w:div>
    <w:div w:id="1518229005">
      <w:bodyDiv w:val="1"/>
      <w:marLeft w:val="0"/>
      <w:marRight w:val="0"/>
      <w:marTop w:val="0"/>
      <w:marBottom w:val="0"/>
      <w:divBdr>
        <w:top w:val="none" w:sz="0" w:space="0" w:color="auto"/>
        <w:left w:val="none" w:sz="0" w:space="0" w:color="auto"/>
        <w:bottom w:val="none" w:sz="0" w:space="0" w:color="auto"/>
        <w:right w:val="none" w:sz="0" w:space="0" w:color="auto"/>
      </w:divBdr>
    </w:div>
    <w:div w:id="1545412130">
      <w:bodyDiv w:val="1"/>
      <w:marLeft w:val="0"/>
      <w:marRight w:val="0"/>
      <w:marTop w:val="0"/>
      <w:marBottom w:val="0"/>
      <w:divBdr>
        <w:top w:val="none" w:sz="0" w:space="0" w:color="auto"/>
        <w:left w:val="none" w:sz="0" w:space="0" w:color="auto"/>
        <w:bottom w:val="none" w:sz="0" w:space="0" w:color="auto"/>
        <w:right w:val="none" w:sz="0" w:space="0" w:color="auto"/>
      </w:divBdr>
    </w:div>
    <w:div w:id="1552157559">
      <w:bodyDiv w:val="1"/>
      <w:marLeft w:val="0"/>
      <w:marRight w:val="0"/>
      <w:marTop w:val="0"/>
      <w:marBottom w:val="0"/>
      <w:divBdr>
        <w:top w:val="none" w:sz="0" w:space="0" w:color="auto"/>
        <w:left w:val="none" w:sz="0" w:space="0" w:color="auto"/>
        <w:bottom w:val="none" w:sz="0" w:space="0" w:color="auto"/>
        <w:right w:val="none" w:sz="0" w:space="0" w:color="auto"/>
      </w:divBdr>
    </w:div>
    <w:div w:id="1606889509">
      <w:bodyDiv w:val="1"/>
      <w:marLeft w:val="0"/>
      <w:marRight w:val="0"/>
      <w:marTop w:val="0"/>
      <w:marBottom w:val="0"/>
      <w:divBdr>
        <w:top w:val="none" w:sz="0" w:space="0" w:color="auto"/>
        <w:left w:val="none" w:sz="0" w:space="0" w:color="auto"/>
        <w:bottom w:val="none" w:sz="0" w:space="0" w:color="auto"/>
        <w:right w:val="none" w:sz="0" w:space="0" w:color="auto"/>
      </w:divBdr>
    </w:div>
    <w:div w:id="1607233549">
      <w:bodyDiv w:val="1"/>
      <w:marLeft w:val="0"/>
      <w:marRight w:val="0"/>
      <w:marTop w:val="0"/>
      <w:marBottom w:val="0"/>
      <w:divBdr>
        <w:top w:val="none" w:sz="0" w:space="0" w:color="auto"/>
        <w:left w:val="none" w:sz="0" w:space="0" w:color="auto"/>
        <w:bottom w:val="none" w:sz="0" w:space="0" w:color="auto"/>
        <w:right w:val="none" w:sz="0" w:space="0" w:color="auto"/>
      </w:divBdr>
    </w:div>
    <w:div w:id="1677347659">
      <w:bodyDiv w:val="1"/>
      <w:marLeft w:val="0"/>
      <w:marRight w:val="0"/>
      <w:marTop w:val="0"/>
      <w:marBottom w:val="0"/>
      <w:divBdr>
        <w:top w:val="none" w:sz="0" w:space="0" w:color="auto"/>
        <w:left w:val="none" w:sz="0" w:space="0" w:color="auto"/>
        <w:bottom w:val="none" w:sz="0" w:space="0" w:color="auto"/>
        <w:right w:val="none" w:sz="0" w:space="0" w:color="auto"/>
      </w:divBdr>
    </w:div>
    <w:div w:id="1686591859">
      <w:bodyDiv w:val="1"/>
      <w:marLeft w:val="0"/>
      <w:marRight w:val="0"/>
      <w:marTop w:val="0"/>
      <w:marBottom w:val="0"/>
      <w:divBdr>
        <w:top w:val="none" w:sz="0" w:space="0" w:color="auto"/>
        <w:left w:val="none" w:sz="0" w:space="0" w:color="auto"/>
        <w:bottom w:val="none" w:sz="0" w:space="0" w:color="auto"/>
        <w:right w:val="none" w:sz="0" w:space="0" w:color="auto"/>
      </w:divBdr>
    </w:div>
    <w:div w:id="1731882025">
      <w:bodyDiv w:val="1"/>
      <w:marLeft w:val="0"/>
      <w:marRight w:val="0"/>
      <w:marTop w:val="0"/>
      <w:marBottom w:val="0"/>
      <w:divBdr>
        <w:top w:val="none" w:sz="0" w:space="0" w:color="auto"/>
        <w:left w:val="none" w:sz="0" w:space="0" w:color="auto"/>
        <w:bottom w:val="none" w:sz="0" w:space="0" w:color="auto"/>
        <w:right w:val="none" w:sz="0" w:space="0" w:color="auto"/>
      </w:divBdr>
    </w:div>
    <w:div w:id="1751584703">
      <w:bodyDiv w:val="1"/>
      <w:marLeft w:val="0"/>
      <w:marRight w:val="0"/>
      <w:marTop w:val="0"/>
      <w:marBottom w:val="0"/>
      <w:divBdr>
        <w:top w:val="none" w:sz="0" w:space="0" w:color="auto"/>
        <w:left w:val="none" w:sz="0" w:space="0" w:color="auto"/>
        <w:bottom w:val="none" w:sz="0" w:space="0" w:color="auto"/>
        <w:right w:val="none" w:sz="0" w:space="0" w:color="auto"/>
      </w:divBdr>
    </w:div>
    <w:div w:id="1767730365">
      <w:bodyDiv w:val="1"/>
      <w:marLeft w:val="0"/>
      <w:marRight w:val="0"/>
      <w:marTop w:val="0"/>
      <w:marBottom w:val="0"/>
      <w:divBdr>
        <w:top w:val="none" w:sz="0" w:space="0" w:color="auto"/>
        <w:left w:val="none" w:sz="0" w:space="0" w:color="auto"/>
        <w:bottom w:val="none" w:sz="0" w:space="0" w:color="auto"/>
        <w:right w:val="none" w:sz="0" w:space="0" w:color="auto"/>
      </w:divBdr>
    </w:div>
    <w:div w:id="1775052231">
      <w:bodyDiv w:val="1"/>
      <w:marLeft w:val="0"/>
      <w:marRight w:val="0"/>
      <w:marTop w:val="0"/>
      <w:marBottom w:val="0"/>
      <w:divBdr>
        <w:top w:val="none" w:sz="0" w:space="0" w:color="auto"/>
        <w:left w:val="none" w:sz="0" w:space="0" w:color="auto"/>
        <w:bottom w:val="none" w:sz="0" w:space="0" w:color="auto"/>
        <w:right w:val="none" w:sz="0" w:space="0" w:color="auto"/>
      </w:divBdr>
    </w:div>
    <w:div w:id="1775635958">
      <w:marLeft w:val="0"/>
      <w:marRight w:val="0"/>
      <w:marTop w:val="0"/>
      <w:marBottom w:val="0"/>
      <w:divBdr>
        <w:top w:val="none" w:sz="0" w:space="0" w:color="auto"/>
        <w:left w:val="none" w:sz="0" w:space="0" w:color="auto"/>
        <w:bottom w:val="none" w:sz="0" w:space="0" w:color="auto"/>
        <w:right w:val="none" w:sz="0" w:space="0" w:color="auto"/>
      </w:divBdr>
    </w:div>
    <w:div w:id="1775635959">
      <w:marLeft w:val="0"/>
      <w:marRight w:val="0"/>
      <w:marTop w:val="0"/>
      <w:marBottom w:val="0"/>
      <w:divBdr>
        <w:top w:val="none" w:sz="0" w:space="0" w:color="auto"/>
        <w:left w:val="none" w:sz="0" w:space="0" w:color="auto"/>
        <w:bottom w:val="none" w:sz="0" w:space="0" w:color="auto"/>
        <w:right w:val="none" w:sz="0" w:space="0" w:color="auto"/>
      </w:divBdr>
    </w:div>
    <w:div w:id="1775635960">
      <w:marLeft w:val="0"/>
      <w:marRight w:val="0"/>
      <w:marTop w:val="0"/>
      <w:marBottom w:val="0"/>
      <w:divBdr>
        <w:top w:val="none" w:sz="0" w:space="0" w:color="auto"/>
        <w:left w:val="none" w:sz="0" w:space="0" w:color="auto"/>
        <w:bottom w:val="none" w:sz="0" w:space="0" w:color="auto"/>
        <w:right w:val="none" w:sz="0" w:space="0" w:color="auto"/>
      </w:divBdr>
    </w:div>
    <w:div w:id="1775635961">
      <w:marLeft w:val="0"/>
      <w:marRight w:val="0"/>
      <w:marTop w:val="0"/>
      <w:marBottom w:val="0"/>
      <w:divBdr>
        <w:top w:val="none" w:sz="0" w:space="0" w:color="auto"/>
        <w:left w:val="none" w:sz="0" w:space="0" w:color="auto"/>
        <w:bottom w:val="none" w:sz="0" w:space="0" w:color="auto"/>
        <w:right w:val="none" w:sz="0" w:space="0" w:color="auto"/>
      </w:divBdr>
    </w:div>
    <w:div w:id="1775635962">
      <w:marLeft w:val="0"/>
      <w:marRight w:val="0"/>
      <w:marTop w:val="0"/>
      <w:marBottom w:val="0"/>
      <w:divBdr>
        <w:top w:val="none" w:sz="0" w:space="0" w:color="auto"/>
        <w:left w:val="none" w:sz="0" w:space="0" w:color="auto"/>
        <w:bottom w:val="none" w:sz="0" w:space="0" w:color="auto"/>
        <w:right w:val="none" w:sz="0" w:space="0" w:color="auto"/>
      </w:divBdr>
    </w:div>
    <w:div w:id="1775635963">
      <w:marLeft w:val="0"/>
      <w:marRight w:val="0"/>
      <w:marTop w:val="0"/>
      <w:marBottom w:val="0"/>
      <w:divBdr>
        <w:top w:val="none" w:sz="0" w:space="0" w:color="auto"/>
        <w:left w:val="none" w:sz="0" w:space="0" w:color="auto"/>
        <w:bottom w:val="none" w:sz="0" w:space="0" w:color="auto"/>
        <w:right w:val="none" w:sz="0" w:space="0" w:color="auto"/>
      </w:divBdr>
    </w:div>
    <w:div w:id="1775635964">
      <w:marLeft w:val="0"/>
      <w:marRight w:val="0"/>
      <w:marTop w:val="0"/>
      <w:marBottom w:val="0"/>
      <w:divBdr>
        <w:top w:val="none" w:sz="0" w:space="0" w:color="auto"/>
        <w:left w:val="none" w:sz="0" w:space="0" w:color="auto"/>
        <w:bottom w:val="none" w:sz="0" w:space="0" w:color="auto"/>
        <w:right w:val="none" w:sz="0" w:space="0" w:color="auto"/>
      </w:divBdr>
    </w:div>
    <w:div w:id="1775635965">
      <w:marLeft w:val="0"/>
      <w:marRight w:val="0"/>
      <w:marTop w:val="0"/>
      <w:marBottom w:val="0"/>
      <w:divBdr>
        <w:top w:val="none" w:sz="0" w:space="0" w:color="auto"/>
        <w:left w:val="none" w:sz="0" w:space="0" w:color="auto"/>
        <w:bottom w:val="none" w:sz="0" w:space="0" w:color="auto"/>
        <w:right w:val="none" w:sz="0" w:space="0" w:color="auto"/>
      </w:divBdr>
    </w:div>
    <w:div w:id="1775635966">
      <w:marLeft w:val="0"/>
      <w:marRight w:val="0"/>
      <w:marTop w:val="0"/>
      <w:marBottom w:val="0"/>
      <w:divBdr>
        <w:top w:val="none" w:sz="0" w:space="0" w:color="auto"/>
        <w:left w:val="none" w:sz="0" w:space="0" w:color="auto"/>
        <w:bottom w:val="none" w:sz="0" w:space="0" w:color="auto"/>
        <w:right w:val="none" w:sz="0" w:space="0" w:color="auto"/>
      </w:divBdr>
    </w:div>
    <w:div w:id="1775635967">
      <w:marLeft w:val="0"/>
      <w:marRight w:val="0"/>
      <w:marTop w:val="0"/>
      <w:marBottom w:val="0"/>
      <w:divBdr>
        <w:top w:val="none" w:sz="0" w:space="0" w:color="auto"/>
        <w:left w:val="none" w:sz="0" w:space="0" w:color="auto"/>
        <w:bottom w:val="none" w:sz="0" w:space="0" w:color="auto"/>
        <w:right w:val="none" w:sz="0" w:space="0" w:color="auto"/>
      </w:divBdr>
    </w:div>
    <w:div w:id="1775635968">
      <w:marLeft w:val="0"/>
      <w:marRight w:val="0"/>
      <w:marTop w:val="0"/>
      <w:marBottom w:val="0"/>
      <w:divBdr>
        <w:top w:val="none" w:sz="0" w:space="0" w:color="auto"/>
        <w:left w:val="none" w:sz="0" w:space="0" w:color="auto"/>
        <w:bottom w:val="none" w:sz="0" w:space="0" w:color="auto"/>
        <w:right w:val="none" w:sz="0" w:space="0" w:color="auto"/>
      </w:divBdr>
    </w:div>
    <w:div w:id="1775635969">
      <w:marLeft w:val="0"/>
      <w:marRight w:val="0"/>
      <w:marTop w:val="0"/>
      <w:marBottom w:val="0"/>
      <w:divBdr>
        <w:top w:val="none" w:sz="0" w:space="0" w:color="auto"/>
        <w:left w:val="none" w:sz="0" w:space="0" w:color="auto"/>
        <w:bottom w:val="none" w:sz="0" w:space="0" w:color="auto"/>
        <w:right w:val="none" w:sz="0" w:space="0" w:color="auto"/>
      </w:divBdr>
    </w:div>
    <w:div w:id="1775635970">
      <w:marLeft w:val="0"/>
      <w:marRight w:val="0"/>
      <w:marTop w:val="0"/>
      <w:marBottom w:val="0"/>
      <w:divBdr>
        <w:top w:val="none" w:sz="0" w:space="0" w:color="auto"/>
        <w:left w:val="none" w:sz="0" w:space="0" w:color="auto"/>
        <w:bottom w:val="none" w:sz="0" w:space="0" w:color="auto"/>
        <w:right w:val="none" w:sz="0" w:space="0" w:color="auto"/>
      </w:divBdr>
    </w:div>
    <w:div w:id="1775635971">
      <w:marLeft w:val="0"/>
      <w:marRight w:val="0"/>
      <w:marTop w:val="0"/>
      <w:marBottom w:val="0"/>
      <w:divBdr>
        <w:top w:val="none" w:sz="0" w:space="0" w:color="auto"/>
        <w:left w:val="none" w:sz="0" w:space="0" w:color="auto"/>
        <w:bottom w:val="none" w:sz="0" w:space="0" w:color="auto"/>
        <w:right w:val="none" w:sz="0" w:space="0" w:color="auto"/>
      </w:divBdr>
    </w:div>
    <w:div w:id="1775635972">
      <w:marLeft w:val="0"/>
      <w:marRight w:val="0"/>
      <w:marTop w:val="0"/>
      <w:marBottom w:val="0"/>
      <w:divBdr>
        <w:top w:val="none" w:sz="0" w:space="0" w:color="auto"/>
        <w:left w:val="none" w:sz="0" w:space="0" w:color="auto"/>
        <w:bottom w:val="none" w:sz="0" w:space="0" w:color="auto"/>
        <w:right w:val="none" w:sz="0" w:space="0" w:color="auto"/>
      </w:divBdr>
    </w:div>
    <w:div w:id="1775635973">
      <w:marLeft w:val="0"/>
      <w:marRight w:val="0"/>
      <w:marTop w:val="0"/>
      <w:marBottom w:val="0"/>
      <w:divBdr>
        <w:top w:val="none" w:sz="0" w:space="0" w:color="auto"/>
        <w:left w:val="none" w:sz="0" w:space="0" w:color="auto"/>
        <w:bottom w:val="none" w:sz="0" w:space="0" w:color="auto"/>
        <w:right w:val="none" w:sz="0" w:space="0" w:color="auto"/>
      </w:divBdr>
    </w:div>
    <w:div w:id="1775635974">
      <w:marLeft w:val="0"/>
      <w:marRight w:val="0"/>
      <w:marTop w:val="0"/>
      <w:marBottom w:val="0"/>
      <w:divBdr>
        <w:top w:val="none" w:sz="0" w:space="0" w:color="auto"/>
        <w:left w:val="none" w:sz="0" w:space="0" w:color="auto"/>
        <w:bottom w:val="none" w:sz="0" w:space="0" w:color="auto"/>
        <w:right w:val="none" w:sz="0" w:space="0" w:color="auto"/>
      </w:divBdr>
    </w:div>
    <w:div w:id="1775635975">
      <w:marLeft w:val="0"/>
      <w:marRight w:val="0"/>
      <w:marTop w:val="0"/>
      <w:marBottom w:val="0"/>
      <w:divBdr>
        <w:top w:val="none" w:sz="0" w:space="0" w:color="auto"/>
        <w:left w:val="none" w:sz="0" w:space="0" w:color="auto"/>
        <w:bottom w:val="none" w:sz="0" w:space="0" w:color="auto"/>
        <w:right w:val="none" w:sz="0" w:space="0" w:color="auto"/>
      </w:divBdr>
    </w:div>
    <w:div w:id="1775635976">
      <w:marLeft w:val="0"/>
      <w:marRight w:val="0"/>
      <w:marTop w:val="0"/>
      <w:marBottom w:val="0"/>
      <w:divBdr>
        <w:top w:val="none" w:sz="0" w:space="0" w:color="auto"/>
        <w:left w:val="none" w:sz="0" w:space="0" w:color="auto"/>
        <w:bottom w:val="none" w:sz="0" w:space="0" w:color="auto"/>
        <w:right w:val="none" w:sz="0" w:space="0" w:color="auto"/>
      </w:divBdr>
    </w:div>
    <w:div w:id="1775635977">
      <w:marLeft w:val="0"/>
      <w:marRight w:val="0"/>
      <w:marTop w:val="0"/>
      <w:marBottom w:val="0"/>
      <w:divBdr>
        <w:top w:val="none" w:sz="0" w:space="0" w:color="auto"/>
        <w:left w:val="none" w:sz="0" w:space="0" w:color="auto"/>
        <w:bottom w:val="none" w:sz="0" w:space="0" w:color="auto"/>
        <w:right w:val="none" w:sz="0" w:space="0" w:color="auto"/>
      </w:divBdr>
    </w:div>
    <w:div w:id="1775635978">
      <w:marLeft w:val="0"/>
      <w:marRight w:val="0"/>
      <w:marTop w:val="0"/>
      <w:marBottom w:val="0"/>
      <w:divBdr>
        <w:top w:val="none" w:sz="0" w:space="0" w:color="auto"/>
        <w:left w:val="none" w:sz="0" w:space="0" w:color="auto"/>
        <w:bottom w:val="none" w:sz="0" w:space="0" w:color="auto"/>
        <w:right w:val="none" w:sz="0" w:space="0" w:color="auto"/>
      </w:divBdr>
    </w:div>
    <w:div w:id="1775635979">
      <w:marLeft w:val="0"/>
      <w:marRight w:val="0"/>
      <w:marTop w:val="0"/>
      <w:marBottom w:val="0"/>
      <w:divBdr>
        <w:top w:val="none" w:sz="0" w:space="0" w:color="auto"/>
        <w:left w:val="none" w:sz="0" w:space="0" w:color="auto"/>
        <w:bottom w:val="none" w:sz="0" w:space="0" w:color="auto"/>
        <w:right w:val="none" w:sz="0" w:space="0" w:color="auto"/>
      </w:divBdr>
    </w:div>
    <w:div w:id="1775635980">
      <w:marLeft w:val="0"/>
      <w:marRight w:val="0"/>
      <w:marTop w:val="0"/>
      <w:marBottom w:val="0"/>
      <w:divBdr>
        <w:top w:val="none" w:sz="0" w:space="0" w:color="auto"/>
        <w:left w:val="none" w:sz="0" w:space="0" w:color="auto"/>
        <w:bottom w:val="none" w:sz="0" w:space="0" w:color="auto"/>
        <w:right w:val="none" w:sz="0" w:space="0" w:color="auto"/>
      </w:divBdr>
    </w:div>
    <w:div w:id="1775635981">
      <w:marLeft w:val="0"/>
      <w:marRight w:val="0"/>
      <w:marTop w:val="0"/>
      <w:marBottom w:val="0"/>
      <w:divBdr>
        <w:top w:val="none" w:sz="0" w:space="0" w:color="auto"/>
        <w:left w:val="none" w:sz="0" w:space="0" w:color="auto"/>
        <w:bottom w:val="none" w:sz="0" w:space="0" w:color="auto"/>
        <w:right w:val="none" w:sz="0" w:space="0" w:color="auto"/>
      </w:divBdr>
    </w:div>
    <w:div w:id="1775635982">
      <w:marLeft w:val="0"/>
      <w:marRight w:val="0"/>
      <w:marTop w:val="0"/>
      <w:marBottom w:val="0"/>
      <w:divBdr>
        <w:top w:val="none" w:sz="0" w:space="0" w:color="auto"/>
        <w:left w:val="none" w:sz="0" w:space="0" w:color="auto"/>
        <w:bottom w:val="none" w:sz="0" w:space="0" w:color="auto"/>
        <w:right w:val="none" w:sz="0" w:space="0" w:color="auto"/>
      </w:divBdr>
    </w:div>
    <w:div w:id="1775635983">
      <w:marLeft w:val="0"/>
      <w:marRight w:val="0"/>
      <w:marTop w:val="0"/>
      <w:marBottom w:val="0"/>
      <w:divBdr>
        <w:top w:val="none" w:sz="0" w:space="0" w:color="auto"/>
        <w:left w:val="none" w:sz="0" w:space="0" w:color="auto"/>
        <w:bottom w:val="none" w:sz="0" w:space="0" w:color="auto"/>
        <w:right w:val="none" w:sz="0" w:space="0" w:color="auto"/>
      </w:divBdr>
    </w:div>
    <w:div w:id="1775635984">
      <w:marLeft w:val="0"/>
      <w:marRight w:val="0"/>
      <w:marTop w:val="0"/>
      <w:marBottom w:val="0"/>
      <w:divBdr>
        <w:top w:val="none" w:sz="0" w:space="0" w:color="auto"/>
        <w:left w:val="none" w:sz="0" w:space="0" w:color="auto"/>
        <w:bottom w:val="none" w:sz="0" w:space="0" w:color="auto"/>
        <w:right w:val="none" w:sz="0" w:space="0" w:color="auto"/>
      </w:divBdr>
    </w:div>
    <w:div w:id="1775635985">
      <w:marLeft w:val="0"/>
      <w:marRight w:val="0"/>
      <w:marTop w:val="0"/>
      <w:marBottom w:val="0"/>
      <w:divBdr>
        <w:top w:val="none" w:sz="0" w:space="0" w:color="auto"/>
        <w:left w:val="none" w:sz="0" w:space="0" w:color="auto"/>
        <w:bottom w:val="none" w:sz="0" w:space="0" w:color="auto"/>
        <w:right w:val="none" w:sz="0" w:space="0" w:color="auto"/>
      </w:divBdr>
    </w:div>
    <w:div w:id="1775635986">
      <w:marLeft w:val="0"/>
      <w:marRight w:val="0"/>
      <w:marTop w:val="0"/>
      <w:marBottom w:val="0"/>
      <w:divBdr>
        <w:top w:val="none" w:sz="0" w:space="0" w:color="auto"/>
        <w:left w:val="none" w:sz="0" w:space="0" w:color="auto"/>
        <w:bottom w:val="none" w:sz="0" w:space="0" w:color="auto"/>
        <w:right w:val="none" w:sz="0" w:space="0" w:color="auto"/>
      </w:divBdr>
    </w:div>
    <w:div w:id="1775635987">
      <w:marLeft w:val="0"/>
      <w:marRight w:val="0"/>
      <w:marTop w:val="0"/>
      <w:marBottom w:val="0"/>
      <w:divBdr>
        <w:top w:val="none" w:sz="0" w:space="0" w:color="auto"/>
        <w:left w:val="none" w:sz="0" w:space="0" w:color="auto"/>
        <w:bottom w:val="none" w:sz="0" w:space="0" w:color="auto"/>
        <w:right w:val="none" w:sz="0" w:space="0" w:color="auto"/>
      </w:divBdr>
    </w:div>
    <w:div w:id="1775635988">
      <w:marLeft w:val="0"/>
      <w:marRight w:val="0"/>
      <w:marTop w:val="0"/>
      <w:marBottom w:val="0"/>
      <w:divBdr>
        <w:top w:val="none" w:sz="0" w:space="0" w:color="auto"/>
        <w:left w:val="none" w:sz="0" w:space="0" w:color="auto"/>
        <w:bottom w:val="none" w:sz="0" w:space="0" w:color="auto"/>
        <w:right w:val="none" w:sz="0" w:space="0" w:color="auto"/>
      </w:divBdr>
    </w:div>
    <w:div w:id="1775635989">
      <w:marLeft w:val="0"/>
      <w:marRight w:val="0"/>
      <w:marTop w:val="0"/>
      <w:marBottom w:val="0"/>
      <w:divBdr>
        <w:top w:val="none" w:sz="0" w:space="0" w:color="auto"/>
        <w:left w:val="none" w:sz="0" w:space="0" w:color="auto"/>
        <w:bottom w:val="none" w:sz="0" w:space="0" w:color="auto"/>
        <w:right w:val="none" w:sz="0" w:space="0" w:color="auto"/>
      </w:divBdr>
    </w:div>
    <w:div w:id="1775635990">
      <w:marLeft w:val="0"/>
      <w:marRight w:val="0"/>
      <w:marTop w:val="0"/>
      <w:marBottom w:val="0"/>
      <w:divBdr>
        <w:top w:val="none" w:sz="0" w:space="0" w:color="auto"/>
        <w:left w:val="none" w:sz="0" w:space="0" w:color="auto"/>
        <w:bottom w:val="none" w:sz="0" w:space="0" w:color="auto"/>
        <w:right w:val="none" w:sz="0" w:space="0" w:color="auto"/>
      </w:divBdr>
    </w:div>
    <w:div w:id="1775635991">
      <w:marLeft w:val="0"/>
      <w:marRight w:val="0"/>
      <w:marTop w:val="0"/>
      <w:marBottom w:val="0"/>
      <w:divBdr>
        <w:top w:val="none" w:sz="0" w:space="0" w:color="auto"/>
        <w:left w:val="none" w:sz="0" w:space="0" w:color="auto"/>
        <w:bottom w:val="none" w:sz="0" w:space="0" w:color="auto"/>
        <w:right w:val="none" w:sz="0" w:space="0" w:color="auto"/>
      </w:divBdr>
    </w:div>
    <w:div w:id="1775635992">
      <w:marLeft w:val="0"/>
      <w:marRight w:val="0"/>
      <w:marTop w:val="0"/>
      <w:marBottom w:val="0"/>
      <w:divBdr>
        <w:top w:val="none" w:sz="0" w:space="0" w:color="auto"/>
        <w:left w:val="none" w:sz="0" w:space="0" w:color="auto"/>
        <w:bottom w:val="none" w:sz="0" w:space="0" w:color="auto"/>
        <w:right w:val="none" w:sz="0" w:space="0" w:color="auto"/>
      </w:divBdr>
    </w:div>
    <w:div w:id="1775635993">
      <w:marLeft w:val="0"/>
      <w:marRight w:val="0"/>
      <w:marTop w:val="0"/>
      <w:marBottom w:val="0"/>
      <w:divBdr>
        <w:top w:val="none" w:sz="0" w:space="0" w:color="auto"/>
        <w:left w:val="none" w:sz="0" w:space="0" w:color="auto"/>
        <w:bottom w:val="none" w:sz="0" w:space="0" w:color="auto"/>
        <w:right w:val="none" w:sz="0" w:space="0" w:color="auto"/>
      </w:divBdr>
    </w:div>
    <w:div w:id="1775635994">
      <w:marLeft w:val="0"/>
      <w:marRight w:val="0"/>
      <w:marTop w:val="0"/>
      <w:marBottom w:val="0"/>
      <w:divBdr>
        <w:top w:val="none" w:sz="0" w:space="0" w:color="auto"/>
        <w:left w:val="none" w:sz="0" w:space="0" w:color="auto"/>
        <w:bottom w:val="none" w:sz="0" w:space="0" w:color="auto"/>
        <w:right w:val="none" w:sz="0" w:space="0" w:color="auto"/>
      </w:divBdr>
    </w:div>
    <w:div w:id="1775635995">
      <w:marLeft w:val="0"/>
      <w:marRight w:val="0"/>
      <w:marTop w:val="0"/>
      <w:marBottom w:val="0"/>
      <w:divBdr>
        <w:top w:val="none" w:sz="0" w:space="0" w:color="auto"/>
        <w:left w:val="none" w:sz="0" w:space="0" w:color="auto"/>
        <w:bottom w:val="none" w:sz="0" w:space="0" w:color="auto"/>
        <w:right w:val="none" w:sz="0" w:space="0" w:color="auto"/>
      </w:divBdr>
    </w:div>
    <w:div w:id="1775635996">
      <w:marLeft w:val="0"/>
      <w:marRight w:val="0"/>
      <w:marTop w:val="0"/>
      <w:marBottom w:val="0"/>
      <w:divBdr>
        <w:top w:val="none" w:sz="0" w:space="0" w:color="auto"/>
        <w:left w:val="none" w:sz="0" w:space="0" w:color="auto"/>
        <w:bottom w:val="none" w:sz="0" w:space="0" w:color="auto"/>
        <w:right w:val="none" w:sz="0" w:space="0" w:color="auto"/>
      </w:divBdr>
    </w:div>
    <w:div w:id="1775635997">
      <w:marLeft w:val="0"/>
      <w:marRight w:val="0"/>
      <w:marTop w:val="0"/>
      <w:marBottom w:val="0"/>
      <w:divBdr>
        <w:top w:val="none" w:sz="0" w:space="0" w:color="auto"/>
        <w:left w:val="none" w:sz="0" w:space="0" w:color="auto"/>
        <w:bottom w:val="none" w:sz="0" w:space="0" w:color="auto"/>
        <w:right w:val="none" w:sz="0" w:space="0" w:color="auto"/>
      </w:divBdr>
    </w:div>
    <w:div w:id="1775635998">
      <w:marLeft w:val="0"/>
      <w:marRight w:val="0"/>
      <w:marTop w:val="0"/>
      <w:marBottom w:val="0"/>
      <w:divBdr>
        <w:top w:val="none" w:sz="0" w:space="0" w:color="auto"/>
        <w:left w:val="none" w:sz="0" w:space="0" w:color="auto"/>
        <w:bottom w:val="none" w:sz="0" w:space="0" w:color="auto"/>
        <w:right w:val="none" w:sz="0" w:space="0" w:color="auto"/>
      </w:divBdr>
    </w:div>
    <w:div w:id="1775635999">
      <w:marLeft w:val="0"/>
      <w:marRight w:val="0"/>
      <w:marTop w:val="0"/>
      <w:marBottom w:val="0"/>
      <w:divBdr>
        <w:top w:val="none" w:sz="0" w:space="0" w:color="auto"/>
        <w:left w:val="none" w:sz="0" w:space="0" w:color="auto"/>
        <w:bottom w:val="none" w:sz="0" w:space="0" w:color="auto"/>
        <w:right w:val="none" w:sz="0" w:space="0" w:color="auto"/>
      </w:divBdr>
    </w:div>
    <w:div w:id="1775636001">
      <w:marLeft w:val="0"/>
      <w:marRight w:val="0"/>
      <w:marTop w:val="0"/>
      <w:marBottom w:val="0"/>
      <w:divBdr>
        <w:top w:val="none" w:sz="0" w:space="0" w:color="auto"/>
        <w:left w:val="none" w:sz="0" w:space="0" w:color="auto"/>
        <w:bottom w:val="none" w:sz="0" w:space="0" w:color="auto"/>
        <w:right w:val="none" w:sz="0" w:space="0" w:color="auto"/>
      </w:divBdr>
    </w:div>
    <w:div w:id="1775636002">
      <w:marLeft w:val="0"/>
      <w:marRight w:val="0"/>
      <w:marTop w:val="0"/>
      <w:marBottom w:val="0"/>
      <w:divBdr>
        <w:top w:val="none" w:sz="0" w:space="0" w:color="auto"/>
        <w:left w:val="none" w:sz="0" w:space="0" w:color="auto"/>
        <w:bottom w:val="none" w:sz="0" w:space="0" w:color="auto"/>
        <w:right w:val="none" w:sz="0" w:space="0" w:color="auto"/>
      </w:divBdr>
    </w:div>
    <w:div w:id="1775636003">
      <w:marLeft w:val="0"/>
      <w:marRight w:val="0"/>
      <w:marTop w:val="0"/>
      <w:marBottom w:val="0"/>
      <w:divBdr>
        <w:top w:val="none" w:sz="0" w:space="0" w:color="auto"/>
        <w:left w:val="none" w:sz="0" w:space="0" w:color="auto"/>
        <w:bottom w:val="none" w:sz="0" w:space="0" w:color="auto"/>
        <w:right w:val="none" w:sz="0" w:space="0" w:color="auto"/>
      </w:divBdr>
    </w:div>
    <w:div w:id="1775636004">
      <w:marLeft w:val="0"/>
      <w:marRight w:val="0"/>
      <w:marTop w:val="0"/>
      <w:marBottom w:val="0"/>
      <w:divBdr>
        <w:top w:val="none" w:sz="0" w:space="0" w:color="auto"/>
        <w:left w:val="none" w:sz="0" w:space="0" w:color="auto"/>
        <w:bottom w:val="none" w:sz="0" w:space="0" w:color="auto"/>
        <w:right w:val="none" w:sz="0" w:space="0" w:color="auto"/>
      </w:divBdr>
    </w:div>
    <w:div w:id="1775636005">
      <w:marLeft w:val="0"/>
      <w:marRight w:val="0"/>
      <w:marTop w:val="0"/>
      <w:marBottom w:val="0"/>
      <w:divBdr>
        <w:top w:val="none" w:sz="0" w:space="0" w:color="auto"/>
        <w:left w:val="none" w:sz="0" w:space="0" w:color="auto"/>
        <w:bottom w:val="none" w:sz="0" w:space="0" w:color="auto"/>
        <w:right w:val="none" w:sz="0" w:space="0" w:color="auto"/>
      </w:divBdr>
    </w:div>
    <w:div w:id="1775636006">
      <w:marLeft w:val="0"/>
      <w:marRight w:val="0"/>
      <w:marTop w:val="0"/>
      <w:marBottom w:val="0"/>
      <w:divBdr>
        <w:top w:val="none" w:sz="0" w:space="0" w:color="auto"/>
        <w:left w:val="none" w:sz="0" w:space="0" w:color="auto"/>
        <w:bottom w:val="none" w:sz="0" w:space="0" w:color="auto"/>
        <w:right w:val="none" w:sz="0" w:space="0" w:color="auto"/>
      </w:divBdr>
    </w:div>
    <w:div w:id="1775636007">
      <w:marLeft w:val="0"/>
      <w:marRight w:val="0"/>
      <w:marTop w:val="0"/>
      <w:marBottom w:val="0"/>
      <w:divBdr>
        <w:top w:val="none" w:sz="0" w:space="0" w:color="auto"/>
        <w:left w:val="none" w:sz="0" w:space="0" w:color="auto"/>
        <w:bottom w:val="none" w:sz="0" w:space="0" w:color="auto"/>
        <w:right w:val="none" w:sz="0" w:space="0" w:color="auto"/>
      </w:divBdr>
    </w:div>
    <w:div w:id="1775636008">
      <w:marLeft w:val="0"/>
      <w:marRight w:val="0"/>
      <w:marTop w:val="0"/>
      <w:marBottom w:val="0"/>
      <w:divBdr>
        <w:top w:val="none" w:sz="0" w:space="0" w:color="auto"/>
        <w:left w:val="none" w:sz="0" w:space="0" w:color="auto"/>
        <w:bottom w:val="none" w:sz="0" w:space="0" w:color="auto"/>
        <w:right w:val="none" w:sz="0" w:space="0" w:color="auto"/>
      </w:divBdr>
    </w:div>
    <w:div w:id="1775636009">
      <w:marLeft w:val="0"/>
      <w:marRight w:val="0"/>
      <w:marTop w:val="0"/>
      <w:marBottom w:val="0"/>
      <w:divBdr>
        <w:top w:val="none" w:sz="0" w:space="0" w:color="auto"/>
        <w:left w:val="none" w:sz="0" w:space="0" w:color="auto"/>
        <w:bottom w:val="none" w:sz="0" w:space="0" w:color="auto"/>
        <w:right w:val="none" w:sz="0" w:space="0" w:color="auto"/>
      </w:divBdr>
    </w:div>
    <w:div w:id="1775636010">
      <w:marLeft w:val="0"/>
      <w:marRight w:val="0"/>
      <w:marTop w:val="0"/>
      <w:marBottom w:val="0"/>
      <w:divBdr>
        <w:top w:val="none" w:sz="0" w:space="0" w:color="auto"/>
        <w:left w:val="none" w:sz="0" w:space="0" w:color="auto"/>
        <w:bottom w:val="none" w:sz="0" w:space="0" w:color="auto"/>
        <w:right w:val="none" w:sz="0" w:space="0" w:color="auto"/>
      </w:divBdr>
    </w:div>
    <w:div w:id="1775636011">
      <w:marLeft w:val="0"/>
      <w:marRight w:val="0"/>
      <w:marTop w:val="0"/>
      <w:marBottom w:val="0"/>
      <w:divBdr>
        <w:top w:val="none" w:sz="0" w:space="0" w:color="auto"/>
        <w:left w:val="none" w:sz="0" w:space="0" w:color="auto"/>
        <w:bottom w:val="none" w:sz="0" w:space="0" w:color="auto"/>
        <w:right w:val="none" w:sz="0" w:space="0" w:color="auto"/>
      </w:divBdr>
      <w:divsChild>
        <w:div w:id="1775636000">
          <w:marLeft w:val="720"/>
          <w:marRight w:val="720"/>
          <w:marTop w:val="100"/>
          <w:marBottom w:val="100"/>
          <w:divBdr>
            <w:top w:val="none" w:sz="0" w:space="0" w:color="auto"/>
            <w:left w:val="none" w:sz="0" w:space="0" w:color="auto"/>
            <w:bottom w:val="none" w:sz="0" w:space="0" w:color="auto"/>
            <w:right w:val="none" w:sz="0" w:space="0" w:color="auto"/>
          </w:divBdr>
        </w:div>
      </w:divsChild>
    </w:div>
    <w:div w:id="1775636012">
      <w:marLeft w:val="0"/>
      <w:marRight w:val="0"/>
      <w:marTop w:val="0"/>
      <w:marBottom w:val="0"/>
      <w:divBdr>
        <w:top w:val="none" w:sz="0" w:space="0" w:color="auto"/>
        <w:left w:val="none" w:sz="0" w:space="0" w:color="auto"/>
        <w:bottom w:val="none" w:sz="0" w:space="0" w:color="auto"/>
        <w:right w:val="none" w:sz="0" w:space="0" w:color="auto"/>
      </w:divBdr>
    </w:div>
    <w:div w:id="1775636013">
      <w:marLeft w:val="0"/>
      <w:marRight w:val="0"/>
      <w:marTop w:val="0"/>
      <w:marBottom w:val="0"/>
      <w:divBdr>
        <w:top w:val="none" w:sz="0" w:space="0" w:color="auto"/>
        <w:left w:val="none" w:sz="0" w:space="0" w:color="auto"/>
        <w:bottom w:val="none" w:sz="0" w:space="0" w:color="auto"/>
        <w:right w:val="none" w:sz="0" w:space="0" w:color="auto"/>
      </w:divBdr>
    </w:div>
    <w:div w:id="1775636014">
      <w:marLeft w:val="0"/>
      <w:marRight w:val="0"/>
      <w:marTop w:val="0"/>
      <w:marBottom w:val="0"/>
      <w:divBdr>
        <w:top w:val="none" w:sz="0" w:space="0" w:color="auto"/>
        <w:left w:val="none" w:sz="0" w:space="0" w:color="auto"/>
        <w:bottom w:val="none" w:sz="0" w:space="0" w:color="auto"/>
        <w:right w:val="none" w:sz="0" w:space="0" w:color="auto"/>
      </w:divBdr>
    </w:div>
    <w:div w:id="1775636015">
      <w:marLeft w:val="0"/>
      <w:marRight w:val="0"/>
      <w:marTop w:val="0"/>
      <w:marBottom w:val="0"/>
      <w:divBdr>
        <w:top w:val="none" w:sz="0" w:space="0" w:color="auto"/>
        <w:left w:val="none" w:sz="0" w:space="0" w:color="auto"/>
        <w:bottom w:val="none" w:sz="0" w:space="0" w:color="auto"/>
        <w:right w:val="none" w:sz="0" w:space="0" w:color="auto"/>
      </w:divBdr>
    </w:div>
    <w:div w:id="1775636016">
      <w:marLeft w:val="0"/>
      <w:marRight w:val="0"/>
      <w:marTop w:val="0"/>
      <w:marBottom w:val="0"/>
      <w:divBdr>
        <w:top w:val="none" w:sz="0" w:space="0" w:color="auto"/>
        <w:left w:val="none" w:sz="0" w:space="0" w:color="auto"/>
        <w:bottom w:val="none" w:sz="0" w:space="0" w:color="auto"/>
        <w:right w:val="none" w:sz="0" w:space="0" w:color="auto"/>
      </w:divBdr>
    </w:div>
    <w:div w:id="1775636017">
      <w:marLeft w:val="0"/>
      <w:marRight w:val="0"/>
      <w:marTop w:val="0"/>
      <w:marBottom w:val="0"/>
      <w:divBdr>
        <w:top w:val="none" w:sz="0" w:space="0" w:color="auto"/>
        <w:left w:val="none" w:sz="0" w:space="0" w:color="auto"/>
        <w:bottom w:val="none" w:sz="0" w:space="0" w:color="auto"/>
        <w:right w:val="none" w:sz="0" w:space="0" w:color="auto"/>
      </w:divBdr>
    </w:div>
    <w:div w:id="1775636018">
      <w:marLeft w:val="0"/>
      <w:marRight w:val="0"/>
      <w:marTop w:val="0"/>
      <w:marBottom w:val="0"/>
      <w:divBdr>
        <w:top w:val="none" w:sz="0" w:space="0" w:color="auto"/>
        <w:left w:val="none" w:sz="0" w:space="0" w:color="auto"/>
        <w:bottom w:val="none" w:sz="0" w:space="0" w:color="auto"/>
        <w:right w:val="none" w:sz="0" w:space="0" w:color="auto"/>
      </w:divBdr>
    </w:div>
    <w:div w:id="1775636019">
      <w:marLeft w:val="0"/>
      <w:marRight w:val="0"/>
      <w:marTop w:val="0"/>
      <w:marBottom w:val="0"/>
      <w:divBdr>
        <w:top w:val="none" w:sz="0" w:space="0" w:color="auto"/>
        <w:left w:val="none" w:sz="0" w:space="0" w:color="auto"/>
        <w:bottom w:val="none" w:sz="0" w:space="0" w:color="auto"/>
        <w:right w:val="none" w:sz="0" w:space="0" w:color="auto"/>
      </w:divBdr>
    </w:div>
    <w:div w:id="1775636020">
      <w:marLeft w:val="0"/>
      <w:marRight w:val="0"/>
      <w:marTop w:val="0"/>
      <w:marBottom w:val="0"/>
      <w:divBdr>
        <w:top w:val="none" w:sz="0" w:space="0" w:color="auto"/>
        <w:left w:val="none" w:sz="0" w:space="0" w:color="auto"/>
        <w:bottom w:val="none" w:sz="0" w:space="0" w:color="auto"/>
        <w:right w:val="none" w:sz="0" w:space="0" w:color="auto"/>
      </w:divBdr>
    </w:div>
    <w:div w:id="1775636021">
      <w:marLeft w:val="0"/>
      <w:marRight w:val="0"/>
      <w:marTop w:val="0"/>
      <w:marBottom w:val="0"/>
      <w:divBdr>
        <w:top w:val="none" w:sz="0" w:space="0" w:color="auto"/>
        <w:left w:val="none" w:sz="0" w:space="0" w:color="auto"/>
        <w:bottom w:val="none" w:sz="0" w:space="0" w:color="auto"/>
        <w:right w:val="none" w:sz="0" w:space="0" w:color="auto"/>
      </w:divBdr>
    </w:div>
    <w:div w:id="1775636022">
      <w:marLeft w:val="0"/>
      <w:marRight w:val="0"/>
      <w:marTop w:val="0"/>
      <w:marBottom w:val="0"/>
      <w:divBdr>
        <w:top w:val="none" w:sz="0" w:space="0" w:color="auto"/>
        <w:left w:val="none" w:sz="0" w:space="0" w:color="auto"/>
        <w:bottom w:val="none" w:sz="0" w:space="0" w:color="auto"/>
        <w:right w:val="none" w:sz="0" w:space="0" w:color="auto"/>
      </w:divBdr>
    </w:div>
    <w:div w:id="1775636023">
      <w:marLeft w:val="0"/>
      <w:marRight w:val="0"/>
      <w:marTop w:val="0"/>
      <w:marBottom w:val="0"/>
      <w:divBdr>
        <w:top w:val="none" w:sz="0" w:space="0" w:color="auto"/>
        <w:left w:val="none" w:sz="0" w:space="0" w:color="auto"/>
        <w:bottom w:val="none" w:sz="0" w:space="0" w:color="auto"/>
        <w:right w:val="none" w:sz="0" w:space="0" w:color="auto"/>
      </w:divBdr>
    </w:div>
    <w:div w:id="1775636024">
      <w:marLeft w:val="0"/>
      <w:marRight w:val="0"/>
      <w:marTop w:val="0"/>
      <w:marBottom w:val="0"/>
      <w:divBdr>
        <w:top w:val="none" w:sz="0" w:space="0" w:color="auto"/>
        <w:left w:val="none" w:sz="0" w:space="0" w:color="auto"/>
        <w:bottom w:val="none" w:sz="0" w:space="0" w:color="auto"/>
        <w:right w:val="none" w:sz="0" w:space="0" w:color="auto"/>
      </w:divBdr>
    </w:div>
    <w:div w:id="1775636025">
      <w:marLeft w:val="0"/>
      <w:marRight w:val="0"/>
      <w:marTop w:val="0"/>
      <w:marBottom w:val="0"/>
      <w:divBdr>
        <w:top w:val="none" w:sz="0" w:space="0" w:color="auto"/>
        <w:left w:val="none" w:sz="0" w:space="0" w:color="auto"/>
        <w:bottom w:val="none" w:sz="0" w:space="0" w:color="auto"/>
        <w:right w:val="none" w:sz="0" w:space="0" w:color="auto"/>
      </w:divBdr>
    </w:div>
    <w:div w:id="1775636026">
      <w:marLeft w:val="0"/>
      <w:marRight w:val="0"/>
      <w:marTop w:val="0"/>
      <w:marBottom w:val="0"/>
      <w:divBdr>
        <w:top w:val="none" w:sz="0" w:space="0" w:color="auto"/>
        <w:left w:val="none" w:sz="0" w:space="0" w:color="auto"/>
        <w:bottom w:val="none" w:sz="0" w:space="0" w:color="auto"/>
        <w:right w:val="none" w:sz="0" w:space="0" w:color="auto"/>
      </w:divBdr>
    </w:div>
    <w:div w:id="1775636027">
      <w:marLeft w:val="0"/>
      <w:marRight w:val="0"/>
      <w:marTop w:val="0"/>
      <w:marBottom w:val="0"/>
      <w:divBdr>
        <w:top w:val="none" w:sz="0" w:space="0" w:color="auto"/>
        <w:left w:val="none" w:sz="0" w:space="0" w:color="auto"/>
        <w:bottom w:val="none" w:sz="0" w:space="0" w:color="auto"/>
        <w:right w:val="none" w:sz="0" w:space="0" w:color="auto"/>
      </w:divBdr>
    </w:div>
    <w:div w:id="1775636028">
      <w:marLeft w:val="0"/>
      <w:marRight w:val="0"/>
      <w:marTop w:val="0"/>
      <w:marBottom w:val="0"/>
      <w:divBdr>
        <w:top w:val="none" w:sz="0" w:space="0" w:color="auto"/>
        <w:left w:val="none" w:sz="0" w:space="0" w:color="auto"/>
        <w:bottom w:val="none" w:sz="0" w:space="0" w:color="auto"/>
        <w:right w:val="none" w:sz="0" w:space="0" w:color="auto"/>
      </w:divBdr>
    </w:div>
    <w:div w:id="1775636029">
      <w:marLeft w:val="0"/>
      <w:marRight w:val="0"/>
      <w:marTop w:val="0"/>
      <w:marBottom w:val="0"/>
      <w:divBdr>
        <w:top w:val="none" w:sz="0" w:space="0" w:color="auto"/>
        <w:left w:val="none" w:sz="0" w:space="0" w:color="auto"/>
        <w:bottom w:val="none" w:sz="0" w:space="0" w:color="auto"/>
        <w:right w:val="none" w:sz="0" w:space="0" w:color="auto"/>
      </w:divBdr>
    </w:div>
    <w:div w:id="1775636030">
      <w:marLeft w:val="0"/>
      <w:marRight w:val="0"/>
      <w:marTop w:val="0"/>
      <w:marBottom w:val="0"/>
      <w:divBdr>
        <w:top w:val="none" w:sz="0" w:space="0" w:color="auto"/>
        <w:left w:val="none" w:sz="0" w:space="0" w:color="auto"/>
        <w:bottom w:val="none" w:sz="0" w:space="0" w:color="auto"/>
        <w:right w:val="none" w:sz="0" w:space="0" w:color="auto"/>
      </w:divBdr>
    </w:div>
    <w:div w:id="1775636031">
      <w:marLeft w:val="0"/>
      <w:marRight w:val="0"/>
      <w:marTop w:val="0"/>
      <w:marBottom w:val="0"/>
      <w:divBdr>
        <w:top w:val="none" w:sz="0" w:space="0" w:color="auto"/>
        <w:left w:val="none" w:sz="0" w:space="0" w:color="auto"/>
        <w:bottom w:val="none" w:sz="0" w:space="0" w:color="auto"/>
        <w:right w:val="none" w:sz="0" w:space="0" w:color="auto"/>
      </w:divBdr>
    </w:div>
    <w:div w:id="1775636032">
      <w:marLeft w:val="0"/>
      <w:marRight w:val="0"/>
      <w:marTop w:val="0"/>
      <w:marBottom w:val="0"/>
      <w:divBdr>
        <w:top w:val="none" w:sz="0" w:space="0" w:color="auto"/>
        <w:left w:val="none" w:sz="0" w:space="0" w:color="auto"/>
        <w:bottom w:val="none" w:sz="0" w:space="0" w:color="auto"/>
        <w:right w:val="none" w:sz="0" w:space="0" w:color="auto"/>
      </w:divBdr>
    </w:div>
    <w:div w:id="1775636033">
      <w:marLeft w:val="0"/>
      <w:marRight w:val="0"/>
      <w:marTop w:val="0"/>
      <w:marBottom w:val="0"/>
      <w:divBdr>
        <w:top w:val="none" w:sz="0" w:space="0" w:color="auto"/>
        <w:left w:val="none" w:sz="0" w:space="0" w:color="auto"/>
        <w:bottom w:val="none" w:sz="0" w:space="0" w:color="auto"/>
        <w:right w:val="none" w:sz="0" w:space="0" w:color="auto"/>
      </w:divBdr>
    </w:div>
    <w:div w:id="1775636034">
      <w:marLeft w:val="0"/>
      <w:marRight w:val="0"/>
      <w:marTop w:val="0"/>
      <w:marBottom w:val="0"/>
      <w:divBdr>
        <w:top w:val="none" w:sz="0" w:space="0" w:color="auto"/>
        <w:left w:val="none" w:sz="0" w:space="0" w:color="auto"/>
        <w:bottom w:val="none" w:sz="0" w:space="0" w:color="auto"/>
        <w:right w:val="none" w:sz="0" w:space="0" w:color="auto"/>
      </w:divBdr>
    </w:div>
    <w:div w:id="1775636035">
      <w:marLeft w:val="0"/>
      <w:marRight w:val="0"/>
      <w:marTop w:val="0"/>
      <w:marBottom w:val="0"/>
      <w:divBdr>
        <w:top w:val="none" w:sz="0" w:space="0" w:color="auto"/>
        <w:left w:val="none" w:sz="0" w:space="0" w:color="auto"/>
        <w:bottom w:val="none" w:sz="0" w:space="0" w:color="auto"/>
        <w:right w:val="none" w:sz="0" w:space="0" w:color="auto"/>
      </w:divBdr>
    </w:div>
    <w:div w:id="1775636036">
      <w:marLeft w:val="0"/>
      <w:marRight w:val="0"/>
      <w:marTop w:val="0"/>
      <w:marBottom w:val="0"/>
      <w:divBdr>
        <w:top w:val="none" w:sz="0" w:space="0" w:color="auto"/>
        <w:left w:val="none" w:sz="0" w:space="0" w:color="auto"/>
        <w:bottom w:val="none" w:sz="0" w:space="0" w:color="auto"/>
        <w:right w:val="none" w:sz="0" w:space="0" w:color="auto"/>
      </w:divBdr>
    </w:div>
    <w:div w:id="1775636037">
      <w:marLeft w:val="0"/>
      <w:marRight w:val="0"/>
      <w:marTop w:val="0"/>
      <w:marBottom w:val="0"/>
      <w:divBdr>
        <w:top w:val="none" w:sz="0" w:space="0" w:color="auto"/>
        <w:left w:val="none" w:sz="0" w:space="0" w:color="auto"/>
        <w:bottom w:val="none" w:sz="0" w:space="0" w:color="auto"/>
        <w:right w:val="none" w:sz="0" w:space="0" w:color="auto"/>
      </w:divBdr>
    </w:div>
    <w:div w:id="1775636038">
      <w:marLeft w:val="0"/>
      <w:marRight w:val="0"/>
      <w:marTop w:val="0"/>
      <w:marBottom w:val="0"/>
      <w:divBdr>
        <w:top w:val="none" w:sz="0" w:space="0" w:color="auto"/>
        <w:left w:val="none" w:sz="0" w:space="0" w:color="auto"/>
        <w:bottom w:val="none" w:sz="0" w:space="0" w:color="auto"/>
        <w:right w:val="none" w:sz="0" w:space="0" w:color="auto"/>
      </w:divBdr>
    </w:div>
    <w:div w:id="1775636039">
      <w:marLeft w:val="0"/>
      <w:marRight w:val="0"/>
      <w:marTop w:val="0"/>
      <w:marBottom w:val="0"/>
      <w:divBdr>
        <w:top w:val="none" w:sz="0" w:space="0" w:color="auto"/>
        <w:left w:val="none" w:sz="0" w:space="0" w:color="auto"/>
        <w:bottom w:val="none" w:sz="0" w:space="0" w:color="auto"/>
        <w:right w:val="none" w:sz="0" w:space="0" w:color="auto"/>
      </w:divBdr>
    </w:div>
    <w:div w:id="1775636040">
      <w:marLeft w:val="0"/>
      <w:marRight w:val="0"/>
      <w:marTop w:val="0"/>
      <w:marBottom w:val="0"/>
      <w:divBdr>
        <w:top w:val="none" w:sz="0" w:space="0" w:color="auto"/>
        <w:left w:val="none" w:sz="0" w:space="0" w:color="auto"/>
        <w:bottom w:val="none" w:sz="0" w:space="0" w:color="auto"/>
        <w:right w:val="none" w:sz="0" w:space="0" w:color="auto"/>
      </w:divBdr>
    </w:div>
    <w:div w:id="1775636041">
      <w:marLeft w:val="0"/>
      <w:marRight w:val="0"/>
      <w:marTop w:val="0"/>
      <w:marBottom w:val="0"/>
      <w:divBdr>
        <w:top w:val="none" w:sz="0" w:space="0" w:color="auto"/>
        <w:left w:val="none" w:sz="0" w:space="0" w:color="auto"/>
        <w:bottom w:val="none" w:sz="0" w:space="0" w:color="auto"/>
        <w:right w:val="none" w:sz="0" w:space="0" w:color="auto"/>
      </w:divBdr>
    </w:div>
    <w:div w:id="1775636042">
      <w:marLeft w:val="0"/>
      <w:marRight w:val="0"/>
      <w:marTop w:val="0"/>
      <w:marBottom w:val="0"/>
      <w:divBdr>
        <w:top w:val="none" w:sz="0" w:space="0" w:color="auto"/>
        <w:left w:val="none" w:sz="0" w:space="0" w:color="auto"/>
        <w:bottom w:val="none" w:sz="0" w:space="0" w:color="auto"/>
        <w:right w:val="none" w:sz="0" w:space="0" w:color="auto"/>
      </w:divBdr>
    </w:div>
    <w:div w:id="1775636043">
      <w:marLeft w:val="0"/>
      <w:marRight w:val="0"/>
      <w:marTop w:val="0"/>
      <w:marBottom w:val="0"/>
      <w:divBdr>
        <w:top w:val="none" w:sz="0" w:space="0" w:color="auto"/>
        <w:left w:val="none" w:sz="0" w:space="0" w:color="auto"/>
        <w:bottom w:val="none" w:sz="0" w:space="0" w:color="auto"/>
        <w:right w:val="none" w:sz="0" w:space="0" w:color="auto"/>
      </w:divBdr>
    </w:div>
    <w:div w:id="1775636044">
      <w:marLeft w:val="0"/>
      <w:marRight w:val="0"/>
      <w:marTop w:val="0"/>
      <w:marBottom w:val="0"/>
      <w:divBdr>
        <w:top w:val="none" w:sz="0" w:space="0" w:color="auto"/>
        <w:left w:val="none" w:sz="0" w:space="0" w:color="auto"/>
        <w:bottom w:val="none" w:sz="0" w:space="0" w:color="auto"/>
        <w:right w:val="none" w:sz="0" w:space="0" w:color="auto"/>
      </w:divBdr>
    </w:div>
    <w:div w:id="1775636045">
      <w:marLeft w:val="0"/>
      <w:marRight w:val="0"/>
      <w:marTop w:val="0"/>
      <w:marBottom w:val="0"/>
      <w:divBdr>
        <w:top w:val="none" w:sz="0" w:space="0" w:color="auto"/>
        <w:left w:val="none" w:sz="0" w:space="0" w:color="auto"/>
        <w:bottom w:val="none" w:sz="0" w:space="0" w:color="auto"/>
        <w:right w:val="none" w:sz="0" w:space="0" w:color="auto"/>
      </w:divBdr>
    </w:div>
    <w:div w:id="1775636046">
      <w:marLeft w:val="0"/>
      <w:marRight w:val="0"/>
      <w:marTop w:val="0"/>
      <w:marBottom w:val="0"/>
      <w:divBdr>
        <w:top w:val="none" w:sz="0" w:space="0" w:color="auto"/>
        <w:left w:val="none" w:sz="0" w:space="0" w:color="auto"/>
        <w:bottom w:val="none" w:sz="0" w:space="0" w:color="auto"/>
        <w:right w:val="none" w:sz="0" w:space="0" w:color="auto"/>
      </w:divBdr>
    </w:div>
    <w:div w:id="1775636047">
      <w:marLeft w:val="0"/>
      <w:marRight w:val="0"/>
      <w:marTop w:val="0"/>
      <w:marBottom w:val="0"/>
      <w:divBdr>
        <w:top w:val="none" w:sz="0" w:space="0" w:color="auto"/>
        <w:left w:val="none" w:sz="0" w:space="0" w:color="auto"/>
        <w:bottom w:val="none" w:sz="0" w:space="0" w:color="auto"/>
        <w:right w:val="none" w:sz="0" w:space="0" w:color="auto"/>
      </w:divBdr>
    </w:div>
    <w:div w:id="1775636048">
      <w:marLeft w:val="0"/>
      <w:marRight w:val="0"/>
      <w:marTop w:val="0"/>
      <w:marBottom w:val="0"/>
      <w:divBdr>
        <w:top w:val="none" w:sz="0" w:space="0" w:color="auto"/>
        <w:left w:val="none" w:sz="0" w:space="0" w:color="auto"/>
        <w:bottom w:val="none" w:sz="0" w:space="0" w:color="auto"/>
        <w:right w:val="none" w:sz="0" w:space="0" w:color="auto"/>
      </w:divBdr>
    </w:div>
    <w:div w:id="1775636049">
      <w:marLeft w:val="0"/>
      <w:marRight w:val="0"/>
      <w:marTop w:val="0"/>
      <w:marBottom w:val="0"/>
      <w:divBdr>
        <w:top w:val="none" w:sz="0" w:space="0" w:color="auto"/>
        <w:left w:val="none" w:sz="0" w:space="0" w:color="auto"/>
        <w:bottom w:val="none" w:sz="0" w:space="0" w:color="auto"/>
        <w:right w:val="none" w:sz="0" w:space="0" w:color="auto"/>
      </w:divBdr>
    </w:div>
    <w:div w:id="1775636050">
      <w:marLeft w:val="0"/>
      <w:marRight w:val="0"/>
      <w:marTop w:val="0"/>
      <w:marBottom w:val="0"/>
      <w:divBdr>
        <w:top w:val="none" w:sz="0" w:space="0" w:color="auto"/>
        <w:left w:val="none" w:sz="0" w:space="0" w:color="auto"/>
        <w:bottom w:val="none" w:sz="0" w:space="0" w:color="auto"/>
        <w:right w:val="none" w:sz="0" w:space="0" w:color="auto"/>
      </w:divBdr>
    </w:div>
    <w:div w:id="1775636051">
      <w:marLeft w:val="0"/>
      <w:marRight w:val="0"/>
      <w:marTop w:val="0"/>
      <w:marBottom w:val="0"/>
      <w:divBdr>
        <w:top w:val="none" w:sz="0" w:space="0" w:color="auto"/>
        <w:left w:val="none" w:sz="0" w:space="0" w:color="auto"/>
        <w:bottom w:val="none" w:sz="0" w:space="0" w:color="auto"/>
        <w:right w:val="none" w:sz="0" w:space="0" w:color="auto"/>
      </w:divBdr>
    </w:div>
    <w:div w:id="1775636052">
      <w:marLeft w:val="0"/>
      <w:marRight w:val="0"/>
      <w:marTop w:val="0"/>
      <w:marBottom w:val="0"/>
      <w:divBdr>
        <w:top w:val="none" w:sz="0" w:space="0" w:color="auto"/>
        <w:left w:val="none" w:sz="0" w:space="0" w:color="auto"/>
        <w:bottom w:val="none" w:sz="0" w:space="0" w:color="auto"/>
        <w:right w:val="none" w:sz="0" w:space="0" w:color="auto"/>
      </w:divBdr>
    </w:div>
    <w:div w:id="1775636053">
      <w:marLeft w:val="0"/>
      <w:marRight w:val="0"/>
      <w:marTop w:val="0"/>
      <w:marBottom w:val="0"/>
      <w:divBdr>
        <w:top w:val="none" w:sz="0" w:space="0" w:color="auto"/>
        <w:left w:val="none" w:sz="0" w:space="0" w:color="auto"/>
        <w:bottom w:val="none" w:sz="0" w:space="0" w:color="auto"/>
        <w:right w:val="none" w:sz="0" w:space="0" w:color="auto"/>
      </w:divBdr>
    </w:div>
    <w:div w:id="1775636054">
      <w:marLeft w:val="0"/>
      <w:marRight w:val="0"/>
      <w:marTop w:val="0"/>
      <w:marBottom w:val="0"/>
      <w:divBdr>
        <w:top w:val="none" w:sz="0" w:space="0" w:color="auto"/>
        <w:left w:val="none" w:sz="0" w:space="0" w:color="auto"/>
        <w:bottom w:val="none" w:sz="0" w:space="0" w:color="auto"/>
        <w:right w:val="none" w:sz="0" w:space="0" w:color="auto"/>
      </w:divBdr>
    </w:div>
    <w:div w:id="1775636055">
      <w:marLeft w:val="0"/>
      <w:marRight w:val="0"/>
      <w:marTop w:val="0"/>
      <w:marBottom w:val="0"/>
      <w:divBdr>
        <w:top w:val="none" w:sz="0" w:space="0" w:color="auto"/>
        <w:left w:val="none" w:sz="0" w:space="0" w:color="auto"/>
        <w:bottom w:val="none" w:sz="0" w:space="0" w:color="auto"/>
        <w:right w:val="none" w:sz="0" w:space="0" w:color="auto"/>
      </w:divBdr>
    </w:div>
    <w:div w:id="1775636056">
      <w:marLeft w:val="0"/>
      <w:marRight w:val="0"/>
      <w:marTop w:val="0"/>
      <w:marBottom w:val="0"/>
      <w:divBdr>
        <w:top w:val="none" w:sz="0" w:space="0" w:color="auto"/>
        <w:left w:val="none" w:sz="0" w:space="0" w:color="auto"/>
        <w:bottom w:val="none" w:sz="0" w:space="0" w:color="auto"/>
        <w:right w:val="none" w:sz="0" w:space="0" w:color="auto"/>
      </w:divBdr>
    </w:div>
    <w:div w:id="1775636057">
      <w:marLeft w:val="0"/>
      <w:marRight w:val="0"/>
      <w:marTop w:val="0"/>
      <w:marBottom w:val="0"/>
      <w:divBdr>
        <w:top w:val="none" w:sz="0" w:space="0" w:color="auto"/>
        <w:left w:val="none" w:sz="0" w:space="0" w:color="auto"/>
        <w:bottom w:val="none" w:sz="0" w:space="0" w:color="auto"/>
        <w:right w:val="none" w:sz="0" w:space="0" w:color="auto"/>
      </w:divBdr>
    </w:div>
    <w:div w:id="1775636058">
      <w:marLeft w:val="0"/>
      <w:marRight w:val="0"/>
      <w:marTop w:val="0"/>
      <w:marBottom w:val="0"/>
      <w:divBdr>
        <w:top w:val="none" w:sz="0" w:space="0" w:color="auto"/>
        <w:left w:val="none" w:sz="0" w:space="0" w:color="auto"/>
        <w:bottom w:val="none" w:sz="0" w:space="0" w:color="auto"/>
        <w:right w:val="none" w:sz="0" w:space="0" w:color="auto"/>
      </w:divBdr>
    </w:div>
    <w:div w:id="1775636059">
      <w:marLeft w:val="0"/>
      <w:marRight w:val="0"/>
      <w:marTop w:val="0"/>
      <w:marBottom w:val="0"/>
      <w:divBdr>
        <w:top w:val="none" w:sz="0" w:space="0" w:color="auto"/>
        <w:left w:val="none" w:sz="0" w:space="0" w:color="auto"/>
        <w:bottom w:val="none" w:sz="0" w:space="0" w:color="auto"/>
        <w:right w:val="none" w:sz="0" w:space="0" w:color="auto"/>
      </w:divBdr>
    </w:div>
    <w:div w:id="1775636060">
      <w:marLeft w:val="0"/>
      <w:marRight w:val="0"/>
      <w:marTop w:val="0"/>
      <w:marBottom w:val="0"/>
      <w:divBdr>
        <w:top w:val="none" w:sz="0" w:space="0" w:color="auto"/>
        <w:left w:val="none" w:sz="0" w:space="0" w:color="auto"/>
        <w:bottom w:val="none" w:sz="0" w:space="0" w:color="auto"/>
        <w:right w:val="none" w:sz="0" w:space="0" w:color="auto"/>
      </w:divBdr>
    </w:div>
    <w:div w:id="1782649930">
      <w:bodyDiv w:val="1"/>
      <w:marLeft w:val="0"/>
      <w:marRight w:val="0"/>
      <w:marTop w:val="0"/>
      <w:marBottom w:val="0"/>
      <w:divBdr>
        <w:top w:val="none" w:sz="0" w:space="0" w:color="auto"/>
        <w:left w:val="none" w:sz="0" w:space="0" w:color="auto"/>
        <w:bottom w:val="none" w:sz="0" w:space="0" w:color="auto"/>
        <w:right w:val="none" w:sz="0" w:space="0" w:color="auto"/>
      </w:divBdr>
    </w:div>
    <w:div w:id="1792357629">
      <w:bodyDiv w:val="1"/>
      <w:marLeft w:val="0"/>
      <w:marRight w:val="0"/>
      <w:marTop w:val="0"/>
      <w:marBottom w:val="0"/>
      <w:divBdr>
        <w:top w:val="none" w:sz="0" w:space="0" w:color="auto"/>
        <w:left w:val="none" w:sz="0" w:space="0" w:color="auto"/>
        <w:bottom w:val="none" w:sz="0" w:space="0" w:color="auto"/>
        <w:right w:val="none" w:sz="0" w:space="0" w:color="auto"/>
      </w:divBdr>
    </w:div>
    <w:div w:id="1800948323">
      <w:bodyDiv w:val="1"/>
      <w:marLeft w:val="0"/>
      <w:marRight w:val="0"/>
      <w:marTop w:val="0"/>
      <w:marBottom w:val="0"/>
      <w:divBdr>
        <w:top w:val="none" w:sz="0" w:space="0" w:color="auto"/>
        <w:left w:val="none" w:sz="0" w:space="0" w:color="auto"/>
        <w:bottom w:val="none" w:sz="0" w:space="0" w:color="auto"/>
        <w:right w:val="none" w:sz="0" w:space="0" w:color="auto"/>
      </w:divBdr>
    </w:div>
    <w:div w:id="1802266731">
      <w:bodyDiv w:val="1"/>
      <w:marLeft w:val="0"/>
      <w:marRight w:val="0"/>
      <w:marTop w:val="0"/>
      <w:marBottom w:val="0"/>
      <w:divBdr>
        <w:top w:val="none" w:sz="0" w:space="0" w:color="auto"/>
        <w:left w:val="none" w:sz="0" w:space="0" w:color="auto"/>
        <w:bottom w:val="none" w:sz="0" w:space="0" w:color="auto"/>
        <w:right w:val="none" w:sz="0" w:space="0" w:color="auto"/>
      </w:divBdr>
    </w:div>
    <w:div w:id="1804955868">
      <w:bodyDiv w:val="1"/>
      <w:marLeft w:val="0"/>
      <w:marRight w:val="0"/>
      <w:marTop w:val="0"/>
      <w:marBottom w:val="0"/>
      <w:divBdr>
        <w:top w:val="none" w:sz="0" w:space="0" w:color="auto"/>
        <w:left w:val="none" w:sz="0" w:space="0" w:color="auto"/>
        <w:bottom w:val="none" w:sz="0" w:space="0" w:color="auto"/>
        <w:right w:val="none" w:sz="0" w:space="0" w:color="auto"/>
      </w:divBdr>
    </w:div>
    <w:div w:id="1813674168">
      <w:bodyDiv w:val="1"/>
      <w:marLeft w:val="0"/>
      <w:marRight w:val="0"/>
      <w:marTop w:val="0"/>
      <w:marBottom w:val="0"/>
      <w:divBdr>
        <w:top w:val="none" w:sz="0" w:space="0" w:color="auto"/>
        <w:left w:val="none" w:sz="0" w:space="0" w:color="auto"/>
        <w:bottom w:val="none" w:sz="0" w:space="0" w:color="auto"/>
        <w:right w:val="none" w:sz="0" w:space="0" w:color="auto"/>
      </w:divBdr>
    </w:div>
    <w:div w:id="1837919344">
      <w:bodyDiv w:val="1"/>
      <w:marLeft w:val="0"/>
      <w:marRight w:val="0"/>
      <w:marTop w:val="0"/>
      <w:marBottom w:val="0"/>
      <w:divBdr>
        <w:top w:val="none" w:sz="0" w:space="0" w:color="auto"/>
        <w:left w:val="none" w:sz="0" w:space="0" w:color="auto"/>
        <w:bottom w:val="none" w:sz="0" w:space="0" w:color="auto"/>
        <w:right w:val="none" w:sz="0" w:space="0" w:color="auto"/>
      </w:divBdr>
    </w:div>
    <w:div w:id="1860964953">
      <w:bodyDiv w:val="1"/>
      <w:marLeft w:val="0"/>
      <w:marRight w:val="0"/>
      <w:marTop w:val="0"/>
      <w:marBottom w:val="0"/>
      <w:divBdr>
        <w:top w:val="none" w:sz="0" w:space="0" w:color="auto"/>
        <w:left w:val="none" w:sz="0" w:space="0" w:color="auto"/>
        <w:bottom w:val="none" w:sz="0" w:space="0" w:color="auto"/>
        <w:right w:val="none" w:sz="0" w:space="0" w:color="auto"/>
      </w:divBdr>
    </w:div>
    <w:div w:id="1860973824">
      <w:bodyDiv w:val="1"/>
      <w:marLeft w:val="0"/>
      <w:marRight w:val="0"/>
      <w:marTop w:val="0"/>
      <w:marBottom w:val="0"/>
      <w:divBdr>
        <w:top w:val="none" w:sz="0" w:space="0" w:color="auto"/>
        <w:left w:val="none" w:sz="0" w:space="0" w:color="auto"/>
        <w:bottom w:val="none" w:sz="0" w:space="0" w:color="auto"/>
        <w:right w:val="none" w:sz="0" w:space="0" w:color="auto"/>
      </w:divBdr>
    </w:div>
    <w:div w:id="1913814135">
      <w:bodyDiv w:val="1"/>
      <w:marLeft w:val="0"/>
      <w:marRight w:val="0"/>
      <w:marTop w:val="0"/>
      <w:marBottom w:val="0"/>
      <w:divBdr>
        <w:top w:val="none" w:sz="0" w:space="0" w:color="auto"/>
        <w:left w:val="none" w:sz="0" w:space="0" w:color="auto"/>
        <w:bottom w:val="none" w:sz="0" w:space="0" w:color="auto"/>
        <w:right w:val="none" w:sz="0" w:space="0" w:color="auto"/>
      </w:divBdr>
    </w:div>
    <w:div w:id="1938517846">
      <w:bodyDiv w:val="1"/>
      <w:marLeft w:val="0"/>
      <w:marRight w:val="0"/>
      <w:marTop w:val="0"/>
      <w:marBottom w:val="0"/>
      <w:divBdr>
        <w:top w:val="none" w:sz="0" w:space="0" w:color="auto"/>
        <w:left w:val="none" w:sz="0" w:space="0" w:color="auto"/>
        <w:bottom w:val="none" w:sz="0" w:space="0" w:color="auto"/>
        <w:right w:val="none" w:sz="0" w:space="0" w:color="auto"/>
      </w:divBdr>
    </w:div>
    <w:div w:id="1959674834">
      <w:bodyDiv w:val="1"/>
      <w:marLeft w:val="0"/>
      <w:marRight w:val="0"/>
      <w:marTop w:val="0"/>
      <w:marBottom w:val="0"/>
      <w:divBdr>
        <w:top w:val="none" w:sz="0" w:space="0" w:color="auto"/>
        <w:left w:val="none" w:sz="0" w:space="0" w:color="auto"/>
        <w:bottom w:val="none" w:sz="0" w:space="0" w:color="auto"/>
        <w:right w:val="none" w:sz="0" w:space="0" w:color="auto"/>
      </w:divBdr>
    </w:div>
    <w:div w:id="1963070667">
      <w:bodyDiv w:val="1"/>
      <w:marLeft w:val="0"/>
      <w:marRight w:val="0"/>
      <w:marTop w:val="0"/>
      <w:marBottom w:val="0"/>
      <w:divBdr>
        <w:top w:val="none" w:sz="0" w:space="0" w:color="auto"/>
        <w:left w:val="none" w:sz="0" w:space="0" w:color="auto"/>
        <w:bottom w:val="none" w:sz="0" w:space="0" w:color="auto"/>
        <w:right w:val="none" w:sz="0" w:space="0" w:color="auto"/>
      </w:divBdr>
    </w:div>
    <w:div w:id="2017657659">
      <w:bodyDiv w:val="1"/>
      <w:marLeft w:val="0"/>
      <w:marRight w:val="0"/>
      <w:marTop w:val="0"/>
      <w:marBottom w:val="0"/>
      <w:divBdr>
        <w:top w:val="none" w:sz="0" w:space="0" w:color="auto"/>
        <w:left w:val="none" w:sz="0" w:space="0" w:color="auto"/>
        <w:bottom w:val="none" w:sz="0" w:space="0" w:color="auto"/>
        <w:right w:val="none" w:sz="0" w:space="0" w:color="auto"/>
      </w:divBdr>
    </w:div>
    <w:div w:id="2030451838">
      <w:bodyDiv w:val="1"/>
      <w:marLeft w:val="0"/>
      <w:marRight w:val="0"/>
      <w:marTop w:val="0"/>
      <w:marBottom w:val="0"/>
      <w:divBdr>
        <w:top w:val="none" w:sz="0" w:space="0" w:color="auto"/>
        <w:left w:val="none" w:sz="0" w:space="0" w:color="auto"/>
        <w:bottom w:val="none" w:sz="0" w:space="0" w:color="auto"/>
        <w:right w:val="none" w:sz="0" w:space="0" w:color="auto"/>
      </w:divBdr>
    </w:div>
    <w:div w:id="2069254915">
      <w:bodyDiv w:val="1"/>
      <w:marLeft w:val="0"/>
      <w:marRight w:val="0"/>
      <w:marTop w:val="0"/>
      <w:marBottom w:val="0"/>
      <w:divBdr>
        <w:top w:val="none" w:sz="0" w:space="0" w:color="auto"/>
        <w:left w:val="none" w:sz="0" w:space="0" w:color="auto"/>
        <w:bottom w:val="none" w:sz="0" w:space="0" w:color="auto"/>
        <w:right w:val="none" w:sz="0" w:space="0" w:color="auto"/>
      </w:divBdr>
    </w:div>
    <w:div w:id="2073111732">
      <w:bodyDiv w:val="1"/>
      <w:marLeft w:val="0"/>
      <w:marRight w:val="0"/>
      <w:marTop w:val="0"/>
      <w:marBottom w:val="0"/>
      <w:divBdr>
        <w:top w:val="none" w:sz="0" w:space="0" w:color="auto"/>
        <w:left w:val="none" w:sz="0" w:space="0" w:color="auto"/>
        <w:bottom w:val="none" w:sz="0" w:space="0" w:color="auto"/>
        <w:right w:val="none" w:sz="0" w:space="0" w:color="auto"/>
      </w:divBdr>
    </w:div>
    <w:div w:id="2074770293">
      <w:bodyDiv w:val="1"/>
      <w:marLeft w:val="0"/>
      <w:marRight w:val="0"/>
      <w:marTop w:val="0"/>
      <w:marBottom w:val="0"/>
      <w:divBdr>
        <w:top w:val="none" w:sz="0" w:space="0" w:color="auto"/>
        <w:left w:val="none" w:sz="0" w:space="0" w:color="auto"/>
        <w:bottom w:val="none" w:sz="0" w:space="0" w:color="auto"/>
        <w:right w:val="none" w:sz="0" w:space="0" w:color="auto"/>
      </w:divBdr>
    </w:div>
    <w:div w:id="2127695998">
      <w:bodyDiv w:val="1"/>
      <w:marLeft w:val="0"/>
      <w:marRight w:val="0"/>
      <w:marTop w:val="0"/>
      <w:marBottom w:val="0"/>
      <w:divBdr>
        <w:top w:val="none" w:sz="0" w:space="0" w:color="auto"/>
        <w:left w:val="none" w:sz="0" w:space="0" w:color="auto"/>
        <w:bottom w:val="none" w:sz="0" w:space="0" w:color="auto"/>
        <w:right w:val="none" w:sz="0" w:space="0" w:color="auto"/>
      </w:divBdr>
    </w:div>
    <w:div w:id="213674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eader" Target="header2.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em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987FE1-6D0F-4A4A-9D1C-4BB80F506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30</Pages>
  <Words>8323</Words>
  <Characters>49109</Characters>
  <Application>Microsoft Office Word</Application>
  <DocSecurity>0</DocSecurity>
  <Lines>409</Lines>
  <Paragraphs>114</Paragraphs>
  <ScaleCrop>false</ScaleCrop>
  <HeadingPairs>
    <vt:vector size="2" baseType="variant">
      <vt:variant>
        <vt:lpstr>Název</vt:lpstr>
      </vt:variant>
      <vt:variant>
        <vt:i4>1</vt:i4>
      </vt:variant>
    </vt:vector>
  </HeadingPairs>
  <TitlesOfParts>
    <vt:vector size="1" baseType="lpstr">
      <vt:lpstr>ZÁVĚREČNÁ ZPRÁVA Z HODNOCENÍ DOPADŮ REGULACE</vt:lpstr>
    </vt:vector>
  </TitlesOfParts>
  <Company>MZPCR</Company>
  <LinksUpToDate>false</LinksUpToDate>
  <CharactersWithSpaces>57318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ZÁVĚREČNÁ ZPRÁVA Z HODNOCENÍ DOPADŮ REGULACE</dc:title>
  <dc:creator>Martina</dc:creator>
  <cp:lastModifiedBy>Petra Hlaváčková</cp:lastModifiedBy>
  <cp:revision>6</cp:revision>
  <cp:lastPrinted>2016-01-21T12:32:00Z</cp:lastPrinted>
  <dcterms:created xsi:type="dcterms:W3CDTF">2016-01-20T09:24:00Z</dcterms:created>
  <dcterms:modified xsi:type="dcterms:W3CDTF">2016-01-21T12:32:00Z</dcterms:modified>
</cp:coreProperties>
</file>